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pPr>
        <w:ind w:left="708"/>
        <w:rPr>
          <w:rFonts w:cstheme="minorHAnsi"/>
          <w:szCs w:val="20"/>
        </w:rPr>
      </w:pPr>
      <w:r>
        <w:rPr>
          <w:sz w:val="36"/>
          <w:szCs w:val="36"/>
        </w:rPr>
        <w:t xml:space="preserve">Adresse du bien : </w:t>
      </w:r>
      <w:r>
        <w:rPr>
          <w:sz w:val="28"/>
          <w:szCs w:val="36"/>
        </w:rPr>
        <w:t xml:space="preserve">41  Route de Varzy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PYY Raija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PYY Raija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2633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PYY Raija Succession</w:t>
            </w:r>
          </w:p>
          <w:p>
            <w:pPr>
              <w:spacing w:after="0" w:line="240" w:lineRule="auto"/>
              <w:rPr>
                <w:rFonts w:cstheme="minorHAnsi"/>
              </w:rPr>
            </w:pPr>
            <w:r>
              <w:rPr>
                <w:rFonts w:cstheme="minorHAnsi"/>
              </w:rPr>
              <w:t>Adresse : 41  Route de Varzy Commune de CHATEAUNEUF VAL DE BARGIS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