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des fours à pain    </w:t>
      </w:r>
      <w:r>
        <w:rPr>
          <w:sz w:val="28"/>
          <w:szCs w:val="36"/>
        </w:rPr>
        <w:lastRenderedPageBreak/>
        <w:t xml:space="preserve"> Bondieuse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LEONE Francis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LEONE Francis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453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LEONE Francis</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des fours à pain Commune de CESSY LES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