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pPr>
        <w:ind w:left="708"/>
        <w:rPr>
          <w:rFonts w:cstheme="minorHAnsi"/>
          <w:szCs w:val="20"/>
        </w:rPr>
      </w:pPr>
      <w:r>
        <w:rPr>
          <w:sz w:val="36"/>
          <w:szCs w:val="36"/>
        </w:rPr>
        <w:t xml:space="preserve">Adresse du bien : </w:t>
      </w:r>
      <w:r>
        <w:rPr>
          <w:sz w:val="28"/>
          <w:szCs w:val="36"/>
        </w:rPr>
        <w:t xml:space="preserve">5  Rue du Menuisier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BAILLY Solange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BAILLY Solange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AE 69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BAILLY Solange</w:t>
            </w:r>
          </w:p>
          <w:p>
            <w:pPr>
              <w:spacing w:after="0" w:line="240" w:lineRule="auto"/>
              <w:rPr>
                <w:rFonts w:cstheme="minorHAnsi"/>
              </w:rPr>
            </w:pPr>
            <w:r>
              <w:rPr>
                <w:rFonts w:cstheme="minorHAnsi"/>
              </w:rPr>
              <w:t>Adresse : 5  Rue du Menuisier Commune de SAINT LOUP</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