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CHATEAUNEUF VAL DE BARGIS</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2  rue de la carrière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SCI</w:t>
      </w:r>
      <w:r>
        <w:rPr>
          <w:rFonts w:cstheme="minorHAnsi"/>
          <w:szCs w:val="20"/>
        </w:rPr>
        <w:t xml:space="preserve">  </w:t>
      </w:r>
      <w:r>
        <w:rPr>
          <w:rFonts w:cstheme="minorHAnsi"/>
          <w:sz w:val="28"/>
          <w:szCs w:val="36"/>
        </w:rPr>
        <w:t>MS -</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07/02/2022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SCI MS -</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 843</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07/02/2022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SCI MS -</w:t>
            </w:r>
          </w:p>
          <w:p w14:paraId="65156932" w14:textId="77777777" w:rsidR="00257929" w:rsidRDefault="007F769C">
            <w:pPr>
              <w:spacing w:after="0" w:line="240" w:lineRule="auto"/>
              <w:rPr>
                <w:rFonts w:cstheme="minorHAnsi"/>
              </w:rPr>
            </w:pPr>
            <w:r>
              <w:rPr>
                <w:rFonts w:cstheme="minorHAnsi"/>
              </w:rPr>
              <w:t>Adresse : 2  rue de la carrière Commune de CHATEAUNEUF VAL DE BARGIS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07/02/2022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