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caj_557</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17/07/2020</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4  Rue des Champs Dieux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58 200 ALLIGNY COSNE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YB 126</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GUINOT Jacques</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61      RUE DE LA FONTAINE ST LAURENT </w:t>
            </w:r>
            <w:r>
              <w:rPr>
                <w:sz w:val="18"/>
                <w:szCs w:val="18"/>
              </w:rPr>
              <w:t/>
            </w:r>
          </w:p>
          <w:p>
            <w:pPr>
              <w:rPr>
                <w:rFonts w:asciiTheme="minorHAnsi" w:hAnsiTheme="minorHAnsi" w:cstheme="minorHAnsi"/>
                <w:szCs w:val="20"/>
              </w:rPr>
            </w:pPr>
            <w:r>
              <w:rPr>
                <w:rFonts w:asciiTheme="minorHAnsi" w:hAnsiTheme="minorHAnsi" w:cstheme="minorHAnsi"/>
                <w:szCs w:val="20"/>
              </w:rPr>
              <w:t>58 200 COSNE COURS SUR LOIRE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3</w:t>
            </w:r>
          </w:p>
          <w:p>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10 363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1.5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Volume en L</w:t>
            </w:r>
          </w:p>
        </w:tc>
        <w:tc>
          <w:tcPr>
            <w:tcW w:w="7027" w:type="dxa"/>
          </w:tcPr>
          <w:p>
            <w:pPr>
              <w:rPr>
                <w:sz w:val="18"/>
              </w:rPr>
            </w:pPr>
            <w:r>
              <w:rPr>
                <w:sz w:val="18"/>
              </w:rPr>
              <w:t>200 L</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d'eaux usées collectées ou à collecter</w:t>
            </w:r>
          </w:p>
        </w:tc>
        <w:tc>
          <w:tcPr>
            <w:tcW w:w="7027" w:type="dxa"/>
          </w:tcPr>
          <w:p>
            <w:pPr>
              <w:rPr>
                <w:sz w:val="18"/>
              </w:rPr>
            </w:pPr>
            <w:r>
              <w:rPr>
                <w:sz w:val="18"/>
              </w:rPr>
              <w:t>Eaux ménagères de la salle de bain</w:t>
            </w:r>
          </w:p>
        </w:tc>
      </w:tr>
      <w:tr>
        <w:trPr>
          <w:jc w:val="center"/>
        </w:trPr>
        <w:tc>
          <w:tcPr>
            <w:tcW w:w="3343" w:type="dxa"/>
            <w:shd w:val="clear" w:color="auto" w:fill="auto"/>
          </w:tcPr>
          <w:p>
            <w:pPr>
              <w:rPr>
                <w:sz w:val="18"/>
              </w:rPr>
            </w:pPr>
            <w:r>
              <w:rPr>
                <w:sz w:val="18"/>
              </w:rPr>
              <w:t>Matériel</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matériau de remplissage</w:t>
            </w:r>
          </w:p>
        </w:tc>
        <w:tc>
          <w:tcPr>
            <w:tcW w:w="7027" w:type="dxa"/>
          </w:tcPr>
          <w:p>
            <w:pPr>
              <w:rPr>
                <w:sz w:val="18"/>
              </w:rPr>
            </w:pPr>
            <w:r>
              <w:rPr>
                <w:sz w:val="18"/>
              </w:rPr>
              <w:t>Béton</w:t>
            </w:r>
          </w:p>
        </w:tc>
      </w:tr>
      <w:tr>
        <w:trPr>
          <w:jc w:val="center"/>
        </w:trPr>
        <w:tc>
          <w:tcPr>
            <w:tcW w:w="3343" w:type="dxa"/>
            <w:shd w:val="clear" w:color="auto" w:fill="auto"/>
          </w:tcPr>
          <w:p>
            <w:pPr>
              <w:rPr>
                <w:sz w:val="18"/>
              </w:rPr>
            </w:pPr>
            <w:r>
              <w:rPr>
                <w:sz w:val="18"/>
              </w:rPr>
              <w:t>Tampon du bac à graisse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Bac à Graisse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Le volume est-il adapté à son utilisation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bac présente-t-il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oui, préciser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du bac à graisse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 xml:space="preserve">Vidange(s) effectuées ? </w:t>
            </w:r>
          </w:p>
        </w:tc>
        <w:tc>
          <w:tcPr>
            <w:tcW w:w="7027" w:type="dxa"/>
          </w:tcPr>
          <w:p>
            <w:pPr>
              <w:rPr>
                <w:sz w:val="18"/>
              </w:rPr>
            </w:pPr>
            <w:r>
              <w:rPr>
                <w:sz w:val="18"/>
              </w:rPr>
              <w:t xml:space="preserve">Non </w:t>
            </w:r>
          </w:p>
        </w:tc>
      </w:tr>
    </w:tbl>
    <w:p>
      <w:pPr>
        <w:rPr>
          <w:sz w:val="18"/>
        </w:rPr>
      </w:pPr>
      <w:r>
        <w:rPr>
          <w:sz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80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secondaire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rFonts w:cs="Arial"/>
          <w:sz w:val="18"/>
          <w:szCs w:val="18"/>
        </w:rPr>
      </w:pPr>
      <w:r>
        <w:rPr>
          <w:rFonts w:cs="Arial"/>
          <w:sz w:val="18"/>
          <w:szCs w:val="18"/>
        </w:rPr>
        <w:t/>
      </w:r>
    </w:p>
    <w:p>
      <w:pPr>
        <w:ind w:left="284"/>
        <w:rPr>
          <w:rFonts w:ascii="Impact" w:hAnsi="Impact"/>
          <w:color w:val="FFC000"/>
          <w:kern w:val="28"/>
          <w:sz w:val="24"/>
          <w:szCs w:val="28"/>
        </w:rPr>
      </w:pPr>
      <w:r>
        <w:rPr>
          <w:rFonts w:asciiTheme="minorHAnsi" w:hAnsiTheme="minorHAnsi" w:cstheme="minorHAnsi"/>
          <w:color w:val="FF9900"/>
          <w:kern w:val="28"/>
          <w:sz w:val="28"/>
          <w:szCs w:val="28"/>
        </w:rPr>
        <w:t>Le traitement : Plateau absorbant</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Longueur en m / ml</w:t>
            </w:r>
          </w:p>
        </w:tc>
        <w:tc>
          <w:tcPr>
            <w:tcW w:w="7027" w:type="dxa"/>
          </w:tcPr>
          <w:p>
            <w:pPr>
              <w:rPr>
                <w:rFonts w:cs="Arial"/>
                <w:sz w:val="18"/>
                <w:szCs w:val="18"/>
              </w:rPr>
            </w:pPr>
            <w:r>
              <w:rPr>
                <w:rFonts w:cs="Arial"/>
                <w:sz w:val="18"/>
                <w:szCs w:val="18"/>
              </w:rPr>
              <w:t>6 m</w:t>
            </w:r>
          </w:p>
        </w:tc>
      </w:tr>
      <w:tr>
        <w:trPr>
          <w:jc w:val="center"/>
        </w:trPr>
        <w:tc>
          <w:tcPr>
            <w:tcW w:w="3343" w:type="dxa"/>
            <w:shd w:val="clear" w:color="auto" w:fill="auto"/>
          </w:tcPr>
          <w:p>
            <w:pPr>
              <w:rPr>
                <w:rFonts w:cs="Arial"/>
                <w:sz w:val="18"/>
                <w:szCs w:val="18"/>
              </w:rPr>
            </w:pPr>
            <w:r>
              <w:rPr>
                <w:rFonts w:cs="Arial"/>
                <w:sz w:val="18"/>
                <w:szCs w:val="18"/>
              </w:rPr>
              <w:t>Largeur en m</w:t>
            </w:r>
          </w:p>
        </w:tc>
        <w:tc>
          <w:tcPr>
            <w:tcW w:w="7027" w:type="dxa"/>
          </w:tcPr>
          <w:p>
            <w:pPr>
              <w:rPr>
                <w:rFonts w:cs="Arial"/>
                <w:sz w:val="18"/>
                <w:szCs w:val="18"/>
              </w:rPr>
            </w:pPr>
            <w:r>
              <w:rPr>
                <w:rFonts w:cs="Arial"/>
                <w:sz w:val="18"/>
                <w:szCs w:val="18"/>
              </w:rPr>
              <w:t>2 m</w:t>
            </w:r>
          </w:p>
        </w:tc>
      </w:tr>
      <w:tr>
        <w:trPr>
          <w:jc w:val="center"/>
        </w:trPr>
        <w:tc>
          <w:tcPr>
            <w:tcW w:w="3343" w:type="dxa"/>
            <w:shd w:val="clear" w:color="auto" w:fill="auto"/>
          </w:tcPr>
          <w:p>
            <w:pPr>
              <w:rPr>
                <w:rFonts w:cs="Arial"/>
                <w:sz w:val="18"/>
                <w:szCs w:val="18"/>
              </w:rPr>
            </w:pPr>
            <w:r>
              <w:rPr>
                <w:rFonts w:cs="Arial"/>
                <w:sz w:val="18"/>
                <w:szCs w:val="18"/>
              </w:rPr>
              <w:t>Surface en m²</w:t>
            </w:r>
          </w:p>
        </w:tc>
        <w:tc>
          <w:tcPr>
            <w:tcW w:w="7027" w:type="dxa"/>
          </w:tcPr>
          <w:p>
            <w:pPr>
              <w:rPr>
                <w:rFonts w:cs="Arial"/>
                <w:sz w:val="18"/>
                <w:szCs w:val="18"/>
              </w:rPr>
            </w:pPr>
            <w:r>
              <w:rPr>
                <w:rFonts w:cs="Arial"/>
                <w:sz w:val="18"/>
                <w:szCs w:val="18"/>
              </w:rPr>
              <w:t>12 m²</w:t>
            </w:r>
          </w:p>
        </w:tc>
      </w:tr>
      <w:tr>
        <w:trPr>
          <w:jc w:val="center"/>
        </w:trPr>
        <w:tc>
          <w:tcPr>
            <w:tcW w:w="3343" w:type="dxa"/>
            <w:shd w:val="clear" w:color="auto" w:fill="auto"/>
          </w:tcPr>
          <w:p>
            <w:pPr>
              <w:rPr>
                <w:rFonts w:cs="Arial"/>
                <w:sz w:val="18"/>
                <w:szCs w:val="18"/>
              </w:rPr>
            </w:pPr>
            <w:r>
              <w:rPr>
                <w:rFonts w:cs="Arial"/>
                <w:sz w:val="18"/>
                <w:szCs w:val="18"/>
              </w:rPr>
              <w:t>Profondeur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à l'habitation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aux limites de la parcelle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aux arbres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dimensionnement du traitement est-il connu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ENVIRON 12 M²</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5 m de l'habitation</w:t>
            </w:r>
          </w:p>
        </w:tc>
        <w:tc>
          <w:tcPr>
            <w:tcW w:w="7027" w:type="dxa"/>
          </w:tcPr>
          <w:p>
            <w:pPr>
              <w:rPr>
                <w:rFonts w:cs="Arial"/>
                <w:sz w:val="18"/>
                <w:szCs w:val="18"/>
              </w:rPr>
            </w:pPr>
            <w:r>
              <w:rPr>
                <w:rFonts w:cs="Arial"/>
                <w:sz w:val="18"/>
                <w:szCs w:val="18"/>
              </w:rPr>
              <w:t xml:space="preserve">Non </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 m de tout arbre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 m des limites de la parcelle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35 m d'un captage utilisé pour la consommation humaine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Est-ce que l'aménagement du terrain gêne le fonctionnement de la filière de traitement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pourquoi et quels sont les risques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Dysfonctionnements observés au niveau du traitement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lastRenderedPageBreak/>
              <w:t>Si oui, préciser (colmatage, stagnation d'eau en surface,...)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traitement</w:t>
            </w:r>
          </w:p>
        </w:tc>
        <w:tc>
          <w:tcPr>
            <w:tcW w:w="7027" w:type="dxa"/>
          </w:tcPr>
          <w:p>
            <w:pPr>
              <w:rPr>
                <w:rFonts w:cs="Arial"/>
                <w:sz w:val="18"/>
                <w:szCs w:val="18"/>
              </w:rPr>
            </w:pPr>
            <w:r>
              <w:rPr>
                <w:rFonts w:cs="Arial"/>
                <w:sz w:val="18"/>
                <w:szCs w:val="18"/>
              </w:rPr>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 tranchées drainantes</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Eaux vannes des toilettes et eaux ménagères de la salle de bain</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1</w:t>
            </w:r>
          </w:p>
        </w:tc>
      </w:tr>
      <w:tr>
        <w:trPr>
          <w:jc w:val="center"/>
        </w:trPr>
        <w:tc>
          <w:tcPr>
            <w:tcW w:w="3343" w:type="dxa"/>
            <w:shd w:val="clear" w:color="auto" w:fill="auto"/>
          </w:tcPr>
          <w:p>
            <w:pPr>
              <w:rPr>
                <w:rFonts w:cs="Arial"/>
                <w:sz w:val="18"/>
                <w:szCs w:val="18"/>
              </w:rPr>
            </w:pPr>
            <w:r>
              <w:rPr>
                <w:rFonts w:cs="Arial"/>
                <w:sz w:val="18"/>
                <w:szCs w:val="18"/>
              </w:rPr>
              <w:lastRenderedPageBreak/>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Puisard</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eaux de la cuisine brutes</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
            </w: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Les ﬁltres bactériens percolateurs ou plateau absorbant ne sont plus autorisés comme dispositif de traitement depuis l’arrêté du 6 mai 1996 ﬁxant les prescriptions techniques applicables aux systèmes d’assainissement non collectif.</w:t>
              <w:br/>
              <w:t>Certains dispositifs de traitement, tels que les ﬁltres bactériens percolateurs, ﬁltres épurateurs à cheminement lent, ou plateaux absorbants, autrefois autorisés, ont été retirés de la réglementation car ils ne remplissaient pas leur fonction, même bien entretenus. Par ailleurs, les dispositifs existants sont souvent très anciens.</w:t>
              <w:br/>
              <w:t>Quel que soit son dimensionnement, une tranchée d’épandage unique est toujours considérée comme signiﬁcativement sous-dimensionnée par la réglementation. Il faut un minimum de deux tranchées d’épandage pour assurer un traitement secondaire et une inﬁltration des eaux usées traitées.</w:t>
              <w:br/>
              <w:t>Les puisards, puits perdu, puits désaffecté, cavité naturelle ou artiﬁcielle profonde ne sont ni des ouvrages de traitement ni des ouvrages d’évacuation des eaux usées traitées.</w:t>
              <w:br/>
              <w:t>En cas de dysfonctionnement du système d'assainissement, une réhabilitation de l'installation devra être envisagée.</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9"/>
      <w:pgSz w:w="11907" w:h="16840"/>
      <w:pgMar w:top="360" w:right="567" w:bottom="726" w:left="567" w:header="284" w:footer="7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fontTable.xml" Type="http://schemas.openxmlformats.org/officeDocument/2006/relationships/fontTable"/>
<Relationship Id="rId11"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footer1.xml" Type="http://schemas.openxmlformats.org/officeDocument/2006/relationships/footer"/>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36D26FDF.dotm</Template>
  <TotalTime>1</TotalTime>
  <Pages>41</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rbc</cp:lastModifiedBy>
  <dcterms:modified xsi:type="dcterms:W3CDTF">2019-12-16T09:48:00Z</dcterms:modified>
  <cp:revision>2</cp:revision>
  <dc:title>Informations générales</dc:title>
</cp:coreProperties>
</file>