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2020_22627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c Route des Barres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68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BONTEMPS Christian et Jeanique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c     Route des Barres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4099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Toutefois, nous avons constaté la présence d'eau dans le regard de contrôle du filtre à sable, cela présage une saturation du drainage permettant l'infiltration du rejet.</w:t>
              <w:br/>
              <w:t>L'acquéreur devra réaliser des modifications au niveau du rejet des eaux de sortie du filtre pour éviter une mise en charge complète du filtre à sable.</w:t>
              <w:br/>
              <w:t>Le rejet pourra se faire directement dans le fossé privé avec possibilité de mettre en place une pompe de relevage si besoin.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