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SAGA_1533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11/10/2019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GFA</w:t>
      </w:r>
      <w:r>
        <w:rPr>
          <w:rFonts w:asciiTheme="minorHAnsi" w:hAnsiTheme="minorHAnsi" w:cstheme="minorHAnsi"/>
          <w:sz w:val="22"/>
          <w:szCs w:val="22"/>
        </w:rPr>
        <w:t xml:space="preserve"> du Domaine de FAVRAY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Grand Favray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Grand Favray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ZI 13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2014-018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VODALYS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GFA du Domaine de FAVRAY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Grand Favray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11/10/2019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