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2019_22567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24/06/2019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31  Route des Gatines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ZL 200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BEAULIEU MULLOT Christopher et Justine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Mme MULLOT Edwige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51      Rue de Meniau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18300 Saint Satur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2477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120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 importante, regards fissurés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Prévoir une vidange de la fosse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racines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semble recevoir une partie des eaux pluviales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Séparer les eaux pluviales des eaux usées</w:t>
              <w:br/>
              <w:t>Modifier la ventilation secondaire de la fosse</w:t>
              <w:br/>
              <w:t>Créer un système de traitement pour l'ensemble des eaux usées</w:t>
              <w:br/>
              <w:t xml:space="preserve">Remplacer les regards abîmés </w:t>
              <w:br/>
              <w:t>Faire vidanger la fosse toutes eaux et nettoyer l'ensemble des regards</w:t>
              <w:br/>
              <w:t>ou prévoir une filière complète d’assainissement individuel comprenant un prétraitement de l’ensemble des eaux usées (type fosse toutes eaux) suivi d’un traitement adapté aux caractéristiques du sol et de l’habitation.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