
<file path=[Content_Types].xml><?xml version="1.0" encoding="utf-8"?>
<Types xmlns="http://schemas.openxmlformats.org/package/2006/content-types">
  <Default ContentType="image/jpeg" Extension="jpeg"/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>
      <w:pPr>
        <w:pStyle w:val="Corpsdetexte"/>
        <w:shd w:val="clear" w:color="auto" w:fill="E6E6E6"/>
        <w:rPr>
          <w:rFonts w:ascii="Calibri" w:hAnsi="Calibri" w:cs="Calibri"/>
          <w:sz w:val="16"/>
        </w:rPr>
      </w:pPr>
    </w:p>
    <w:p>
      <w:pPr>
        <w:pStyle w:val="Corpsdetexte"/>
        <w:shd w:val="clear" w:color="auto" w:fill="E6E6E6"/>
        <w:rPr>
          <w:rFonts w:ascii="Calibri" w:hAnsi="Calibri" w:cs="Calibri"/>
          <w:b/>
          <w:bCs/>
          <w:sz w:val="28"/>
        </w:rPr>
      </w:pPr>
      <w:r>
        <w:rPr>
          <w:rFonts w:ascii="Calibri" w:hAnsi="Calibri" w:cs="Calibri"/>
          <w:b/>
          <w:bCs/>
          <w:sz w:val="28"/>
        </w:rPr>
        <w:t xml:space="preserve">Assainissement Non Collectif : </w:t>
      </w:r>
    </w:p>
    <w:p>
      <w:pPr>
        <w:pStyle w:val="Corpsdetexte"/>
        <w:shd w:val="clear" w:color="auto" w:fill="E6E6E6"/>
        <w:rPr>
          <w:rFonts w:ascii="Calibri" w:hAnsi="Calibri" w:cs="Calibri"/>
          <w:b/>
          <w:bCs/>
          <w:sz w:val="24"/>
          <w:u w:val="single"/>
        </w:rPr>
      </w:pPr>
      <w:r>
        <w:rPr>
          <w:rFonts w:ascii="Calibri" w:hAnsi="Calibri" w:cs="Calibri"/>
          <w:b/>
          <w:bCs/>
          <w:sz w:val="28"/>
          <w:u w:val="single"/>
        </w:rPr>
        <w:t>Avis sur l’exécution des travaux</w:t>
      </w:r>
      <w:r>
        <w:rPr>
          <w:rFonts w:ascii="Calibri" w:hAnsi="Calibri" w:cs="Calibri"/>
          <w:b/>
          <w:bCs/>
          <w:sz w:val="24"/>
          <w:u w:val="single"/>
        </w:rPr>
        <w:t xml:space="preserve">  </w:t>
      </w:r>
    </w:p>
    <w:p>
      <w:pPr>
        <w:shd w:val="clear" w:color="auto" w:fill="E6E6E6"/>
        <w:jc w:val="center"/>
        <w:rPr>
          <w:rFonts w:ascii="Calibri" w:hAnsi="Calibri" w:cs="Calibri"/>
          <w:sz w:val="16"/>
        </w:rPr>
      </w:pPr>
    </w:p>
    <w:p>
      <w:pPr>
        <w:jc w:val="center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4324350</wp:posOffset>
            </wp:positionH>
            <wp:positionV relativeFrom="paragraph">
              <wp:posOffset>175895</wp:posOffset>
            </wp:positionV>
            <wp:extent cx="933450" cy="933450"/>
            <wp:effectExtent l="19050" t="0" r="0" b="0"/>
            <wp:wrapNone/>
            <wp:docPr id="7" name="Imag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3450" cy="9334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Calibri" w:hAnsi="Calibri" w:cs="Calibri"/>
          <w:noProof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30480</wp:posOffset>
            </wp:positionH>
            <wp:positionV relativeFrom="paragraph">
              <wp:posOffset>173355</wp:posOffset>
            </wp:positionV>
            <wp:extent cx="1409700" cy="474345"/>
            <wp:effectExtent l="19050" t="0" r="0" b="0"/>
            <wp:wrapSquare wrapText="bothSides"/>
            <wp:docPr id="36" name="Image 36" descr="Logo CCLVN B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6" descr="Logo CCLVN BD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09700" cy="47434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>
      <w:pPr>
        <w:rPr>
          <w:rFonts w:ascii="Calibri" w:hAnsi="Calibri" w:cs="Calibri"/>
        </w:rPr>
      </w:pPr>
      <w:r>
        <w:rPr>
          <w:rFonts w:ascii="Calibri" w:hAnsi="Calibri" w:cs="Calibri"/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-3pt;margin-top:2.4pt;width:324pt;height:1in;z-index:251657216">
            <v:stroke dashstyle="dashDot"/>
            <v:textbox>
              <w:txbxContent>
                <w:p>
                  <w:pPr>
                    <w:pStyle w:val="Titre1"/>
                    <w:rPr>
                      <w:rFonts w:ascii="Calibri" w:hAnsi="Calibri" w:cs="Calibri"/>
                      <w:sz w:val="28"/>
                      <w:szCs w:val="28"/>
                      <w:lang w:val="fr-FR"/>
                    </w:rPr>
                  </w:pPr>
                  <w:r>
                    <w:rPr>
                      <w:rFonts w:ascii="Calibri" w:hAnsi="Calibri" w:cs="Calibri"/>
                      <w:sz w:val="28"/>
                      <w:szCs w:val="28"/>
                      <w:lang w:val="fr-FR"/>
                    </w:rPr>
                    <w:t>S P A N C</w:t>
                  </w:r>
                </w:p>
                <w:p>
                  <w:pPr>
                    <w:pStyle w:val="Titre2"/>
                    <w:rPr>
                      <w:sz w:val="28"/>
                      <w:szCs w:val="28"/>
                    </w:rPr>
                  </w:pPr>
                  <w:r>
                    <w:rPr>
                      <w:rFonts w:ascii="Calibri" w:hAnsi="Calibri" w:cs="Calibri"/>
                      <w:sz w:val="28"/>
                      <w:szCs w:val="28"/>
                    </w:rPr>
                    <w:t>Service Public d’Assainissement Non Collectif</w:t>
                  </w:r>
                </w:p>
                <w:p>
                  <w:pPr>
                    <w:rPr>
                      <w:sz w:val="16"/>
                    </w:rPr>
                  </w:pPr>
                </w:p>
                <w:p>
                  <w:pPr>
                    <w:rPr>
                      <w:sz w:val="28"/>
                    </w:rPr>
                  </w:pPr>
                </w:p>
              </w:txbxContent>
            </v:textbox>
          </v:shape>
        </w:pict>
      </w:r>
    </w:p>
    <w:p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 xml:space="preserve">Communauté de Communes </w:t>
      </w:r>
    </w:p>
    <w:p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Loire Vignobles et Nohain</w:t>
      </w:r>
    </w:p>
    <w:p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4 place Georges Clémenceau</w:t>
      </w:r>
    </w:p>
    <w:p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58203 Cosne sur Loire</w:t>
      </w:r>
    </w:p>
    <w:p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Tél : 03.86.28.92.92</w:t>
      </w:r>
    </w:p>
    <w:p>
      <w:pPr>
        <w:pStyle w:val="Corpsdetexte2"/>
        <w:jc w:val="left"/>
        <w:rPr>
          <w:rFonts w:ascii="Calibri" w:hAnsi="Calibri" w:cs="Calibri"/>
          <w:sz w:val="16"/>
          <w:szCs w:val="16"/>
        </w:rPr>
      </w:pPr>
      <w:hyperlink r:id="rId7" w:history="1">
        <w:r>
          <w:rPr>
            <w:rStyle w:val="Lienhypertexte"/>
            <w:rFonts w:ascii="Calibri" w:hAnsi="Calibri" w:cs="Calibri"/>
            <w:sz w:val="16"/>
            <w:szCs w:val="16"/>
          </w:rPr>
          <w:t>contact@cclvn.fr</w:t>
        </w:r>
      </w:hyperlink>
    </w:p>
    <w:p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>
      <w:pPr>
        <w:tabs>
          <w:tab w:val="decimal" w:pos="2520"/>
          <w:tab w:val="right" w:leader="dot" w:pos="10440"/>
        </w:tabs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b/>
          <w:bCs/>
          <w:sz w:val="22"/>
          <w:szCs w:val="22"/>
        </w:rPr>
        <w:t>Référence du dossier</w:t>
      </w:r>
      <w:r>
        <w:rPr>
          <w:rFonts w:ascii="Calibri" w:hAnsi="Calibri" w:cs="Calibri"/>
          <w:sz w:val="22"/>
          <w:szCs w:val="22"/>
        </w:rPr>
        <w:t xml:space="preserve"> : </w:t>
      </w:r>
      <w:r>
        <w:rPr>
          <w:rFonts w:ascii="Calibri" w:hAnsi="Calibri" w:cs="Calibri"/>
          <w:b/>
          <w:bCs/>
          <w:sz w:val="22"/>
          <w:szCs w:val="22"/>
        </w:rPr>
        <w:t>2019_22552</w:t>
      </w:r>
    </w:p>
    <w:p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Informations concernant les contrôles</w:t>
      </w:r>
    </w:p>
    <w:p>
      <w:pPr>
        <w:rPr>
          <w:rFonts w:ascii="Calibri" w:hAnsi="Calibri" w:cs="Calibri"/>
          <w:b/>
          <w:bCs/>
          <w:smallCaps/>
          <w:color w:val="FF6600"/>
          <w:sz w:val="14"/>
          <w:szCs w:val="14"/>
          <w:u w:val="single"/>
        </w:rPr>
      </w:pPr>
    </w:p>
    <w:p>
      <w:pPr>
        <w:tabs>
          <w:tab w:val="left" w:leader="dot" w:pos="10490"/>
        </w:tabs>
        <w:spacing w:line="276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Contrôle de conception et d’implantation effectué le : </w:t>
      </w:r>
    </w:p>
    <w:p>
      <w:pPr>
        <w:tabs>
          <w:tab w:val="left" w:leader="dot" w:pos="10490"/>
        </w:tabs>
        <w:spacing w:line="276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Contrôle d’exécution des travaux effectué le : </w:t>
      </w:r>
      <w:r>
        <w:rPr>
          <w:rFonts w:ascii="Calibri" w:hAnsi="Calibri" w:cs="Calibri"/>
          <w:szCs w:val="18"/>
        </w:rPr>
        <w:t>29/05/2019 par Julie EVE</w:t>
      </w:r>
    </w:p>
    <w:p>
      <w:pPr>
        <w:tabs>
          <w:tab w:val="left" w:leader="dot" w:pos="10490"/>
        </w:tabs>
        <w:spacing w:line="276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Personne(s) présente(s) :</w:t>
      </w:r>
      <w:r>
        <w:t xml:space="preserve"> </w:t>
      </w:r>
      <w:r>
        <w:rPr>
          <w:rFonts w:ascii="Calibri" w:hAnsi="Calibri" w:cs="Calibri"/>
          <w:sz w:val="22"/>
          <w:szCs w:val="22"/>
        </w:rPr>
        <w:t>Monsieur HABERT Alexandre</w:t>
      </w:r>
    </w:p>
    <w:p>
      <w:pPr>
        <w:tabs>
          <w:tab w:val="decimal" w:pos="2520"/>
          <w:tab w:val="right" w:leader="dot" w:pos="10440"/>
        </w:tabs>
        <w:rPr>
          <w:rFonts w:ascii="Calibri" w:hAnsi="Calibri" w:cs="Calibri"/>
          <w:sz w:val="18"/>
          <w:szCs w:val="18"/>
        </w:rPr>
      </w:pPr>
    </w:p>
    <w:p>
      <w:pPr>
        <w:ind w:left="-180"/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color w:val="FF6600"/>
          <w:sz w:val="28"/>
        </w:rPr>
        <w:t xml:space="preserve">I. </w:t>
      </w: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L’execution du systeme d'assainissement non collectif ci-dessous :</w:t>
      </w:r>
    </w:p>
    <w:p>
      <w:pPr>
        <w:rPr>
          <w:rFonts w:ascii="Calibri" w:hAnsi="Calibri" w:cs="Calibri"/>
          <w:b/>
          <w:bCs/>
          <w:sz w:val="16"/>
        </w:rPr>
      </w:pPr>
    </w:p>
    <w:p>
      <w:pPr>
        <w:pStyle w:val="Titre3"/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clear" w:pos="0"/>
          <w:tab w:val="left" w:pos="180"/>
        </w:tabs>
        <w:spacing w:before="0" w:beforeAutospacing="0" w:after="0" w:afterAutospacing="0"/>
        <w:ind w:left="180"/>
        <w:rPr>
          <w:rFonts w:asciiTheme="minorHAnsi" w:hAnsiTheme="minorHAnsi" w:cstheme="minorHAnsi"/>
          <w:b/>
          <w:bCs/>
          <w:sz w:val="22"/>
          <w:szCs w:val="22"/>
        </w:rPr>
      </w:pPr>
      <w:r>
        <w:rPr>
          <w:rFonts w:asciiTheme="minorHAnsi" w:hAnsiTheme="minorHAnsi" w:cstheme="minorHAnsi"/>
          <w:b/>
          <w:bCs/>
          <w:sz w:val="22"/>
          <w:szCs w:val="22"/>
        </w:rPr>
        <w:t>PROPRIETAIRE</w:t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Nom : </w:t>
      </w:r>
      <w:r>
        <w:rPr>
          <w:rFonts w:ascii="Calibri" w:hAnsi="Calibri" w:cs="Calibri"/>
          <w:sz w:val="22"/>
          <w:szCs w:val="22"/>
        </w:rPr>
        <w:t>Monsieur et Madame</w:t>
      </w:r>
      <w:r>
        <w:rPr>
          <w:rFonts w:asciiTheme="minorHAnsi" w:hAnsiTheme="minorHAnsi" w:cstheme="minorHAnsi"/>
          <w:sz w:val="22"/>
          <w:szCs w:val="22"/>
        </w:rPr>
        <w:t xml:space="preserve"> HABERT RICHARD Alexandre et Laura </w:t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Adresse : 3 bis Rue des tilleuls  </w:t>
      </w:r>
      <w:r>
        <w:rPr>
          <w:rFonts w:asciiTheme="minorHAnsi" w:hAnsiTheme="minorHAnsi" w:cstheme="minorHAnsi"/>
          <w:bCs/>
          <w:sz w:val="22"/>
          <w:szCs w:val="22"/>
          <w:shd w:val="clear" w:color="auto" w:fill="FFFFFF"/>
        </w:rPr>
        <w:t xml:space="preserve">  </w:t>
      </w:r>
      <w:r>
        <w:rPr>
          <w:rFonts w:asciiTheme="minorHAnsi" w:hAnsiTheme="minorHAnsi" w:cstheme="minorHAnsi"/>
          <w:sz w:val="22"/>
          <w:szCs w:val="22"/>
        </w:rPr>
        <w:t xml:space="preserve">  </w:t>
      </w:r>
      <w:r>
        <w:rPr>
          <w:rFonts w:asciiTheme="minorHAnsi" w:hAnsiTheme="minorHAnsi" w:cstheme="minorHAnsi"/>
          <w:bCs/>
          <w:sz w:val="22"/>
          <w:szCs w:val="22"/>
          <w:shd w:val="clear" w:color="auto" w:fill="FFFFFF"/>
        </w:rPr>
        <w:t>Villemoison</w:t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Commune :  St Père   Code postal : 58200 </w:t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Téléphone :   Fax :  Mail : </w:t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260"/>
          <w:tab w:val="center" w:leader="hyphen" w:pos="3960"/>
          <w:tab w:val="decimal" w:pos="4320"/>
          <w:tab w:val="center" w:leader="hyphen" w:pos="6840"/>
          <w:tab w:val="decimal" w:pos="720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260"/>
          <w:tab w:val="center" w:leader="hyphen" w:pos="3960"/>
          <w:tab w:val="decimal" w:pos="4320"/>
          <w:tab w:val="center" w:leader="hyphen" w:pos="6840"/>
          <w:tab w:val="decimal" w:pos="7200"/>
          <w:tab w:val="right" w:leader="hyphen" w:pos="10440"/>
        </w:tabs>
        <w:ind w:left="180"/>
        <w:rPr>
          <w:rFonts w:asciiTheme="minorHAnsi" w:hAnsiTheme="minorHAnsi" w:cstheme="minorHAnsi"/>
          <w:b/>
          <w:bCs/>
          <w:i/>
          <w:iCs/>
          <w:sz w:val="22"/>
          <w:szCs w:val="22"/>
          <w:u w:val="single"/>
        </w:rPr>
      </w:pPr>
      <w:r>
        <w:rPr>
          <w:rFonts w:asciiTheme="minorHAnsi" w:hAnsiTheme="minorHAnsi" w:cstheme="minorHAnsi"/>
          <w:b/>
          <w:bCs/>
          <w:i/>
          <w:iCs/>
          <w:sz w:val="22"/>
          <w:szCs w:val="22"/>
          <w:u w:val="single"/>
        </w:rPr>
        <w:t>INSTALLATION</w:t>
      </w:r>
      <w:r>
        <w:rPr>
          <w:rFonts w:asciiTheme="minorHAnsi" w:hAnsiTheme="minorHAnsi" w:cstheme="minorHAnsi"/>
          <w:b/>
          <w:bCs/>
          <w:i/>
          <w:iCs/>
          <w:sz w:val="22"/>
          <w:szCs w:val="22"/>
        </w:rPr>
        <w:t xml:space="preserve">    </w:t>
      </w:r>
      <w:r>
        <w:rPr>
          <w:rFonts w:asciiTheme="minorHAnsi" w:hAnsiTheme="minorHAnsi" w:cstheme="minorHAnsi"/>
          <w:sz w:val="22"/>
          <w:szCs w:val="22"/>
        </w:rPr>
        <w:sym w:font="Wingdings" w:char="F0A8"/>
      </w:r>
      <w:bookmarkStart w:id="0" w:name="_GoBack"/>
      <w:bookmarkEnd w:id="0"/>
      <w:r>
        <w:rPr>
          <w:rFonts w:asciiTheme="minorHAnsi" w:hAnsiTheme="minorHAnsi" w:cstheme="minorHAnsi"/>
          <w:b/>
          <w:bCs/>
          <w:i/>
          <w:iCs/>
          <w:sz w:val="22"/>
          <w:szCs w:val="22"/>
        </w:rPr>
        <w:t xml:space="preserve">  </w:t>
      </w:r>
      <w:r>
        <w:rPr>
          <w:rFonts w:asciiTheme="minorHAnsi" w:hAnsiTheme="minorHAnsi" w:cstheme="minorHAnsi"/>
          <w:bCs/>
          <w:iCs/>
          <w:sz w:val="22"/>
          <w:szCs w:val="22"/>
        </w:rPr>
        <w:t>identique à celle du propriétaire</w:t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08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Adresse : </w:t>
      </w:r>
      <w:r>
        <w:rPr>
          <w:rFonts w:asciiTheme="minorHAnsi" w:hAnsiTheme="minorHAnsi" w:cstheme="minorHAnsi"/>
          <w:sz w:val="22"/>
          <w:szCs w:val="22"/>
        </w:rPr>
        <w:tab/>
        <w:t xml:space="preserve">2  Rue du Château d'eau  </w:t>
      </w:r>
      <w:r>
        <w:rPr>
          <w:rFonts w:asciiTheme="minorHAnsi" w:hAnsiTheme="minorHAnsi" w:cstheme="minorHAnsi"/>
          <w:iCs/>
          <w:sz w:val="22"/>
          <w:szCs w:val="22"/>
        </w:rPr>
        <w:t/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iCs/>
          <w:sz w:val="22"/>
          <w:szCs w:val="22"/>
        </w:rPr>
        <w:t/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iCs/>
          <w:sz w:val="22"/>
          <w:szCs w:val="22"/>
        </w:rPr>
        <w:t xml:space="preserve"> </w:t>
      </w:r>
      <w:r>
        <w:rPr>
          <w:rFonts w:asciiTheme="minorHAnsi" w:hAnsiTheme="minorHAnsi" w:cstheme="minorHAnsi"/>
          <w:sz w:val="22"/>
          <w:szCs w:val="22"/>
        </w:rPr>
        <w:t>Les Menoux Commune : SAINT LOUP Code postal : 58200</w:t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leader="hyphen" w:pos="270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Référence cadastrale :  ZN 356</w:t>
      </w:r>
    </w:p>
    <w:p>
      <w:pPr>
        <w:pStyle w:val="Titre7"/>
        <w:rPr>
          <w:rFonts w:ascii="Calibri" w:hAnsi="Calibri" w:cs="Calibri"/>
          <w:sz w:val="16"/>
        </w:rPr>
      </w:pPr>
    </w:p>
    <w:p>
      <w:pPr>
        <w:pStyle w:val="Titre7"/>
        <w:ind w:left="-180"/>
        <w:rPr>
          <w:rFonts w:ascii="Calibri" w:hAnsi="Calibri" w:cs="Calibri"/>
          <w:color w:val="FF6600"/>
          <w:sz w:val="28"/>
          <w:u w:val="single"/>
        </w:rPr>
      </w:pPr>
      <w:r>
        <w:rPr>
          <w:rFonts w:ascii="Calibri" w:hAnsi="Calibri" w:cs="Calibri"/>
          <w:color w:val="FF6600"/>
          <w:sz w:val="28"/>
        </w:rPr>
        <w:t xml:space="preserve">II. </w:t>
      </w:r>
      <w:r>
        <w:rPr>
          <w:rFonts w:ascii="Calibri" w:hAnsi="Calibri" w:cs="Calibri"/>
          <w:color w:val="FF6600"/>
          <w:sz w:val="28"/>
          <w:u w:val="single"/>
        </w:rPr>
        <w:t>Comportant les élements suivants :</w:t>
      </w:r>
    </w:p>
    <w:p>
      <w:pPr>
        <w:ind w:firstLine="540"/>
        <w:rPr>
          <w:rFonts w:ascii="Arial" w:hAnsi="Arial" w:cs="Arial"/>
          <w:b/>
          <w:sz w:val="18"/>
          <w:szCs w:val="18"/>
        </w:rPr>
      </w:pPr>
    </w:p>
    <w:p>
      <w:pPr>
        <w:ind w:firstLine="540"/>
        <w:rPr>
          <w:rFonts w:asciiTheme="minorHAnsi" w:hAnsiTheme="minorHAnsi" w:cstheme="minorHAnsi"/>
          <w:b/>
          <w:sz w:val="22"/>
          <w:szCs w:val="22"/>
        </w:rPr>
      </w:pPr>
      <w:r>
        <w:rPr>
          <w:rFonts w:asciiTheme="minorHAnsi" w:hAnsiTheme="minorHAnsi" w:cstheme="minorHAnsi"/>
          <w:b/>
          <w:sz w:val="22"/>
          <w:szCs w:val="22"/>
        </w:rPr>
        <w:t> </w:t>
      </w:r>
    </w:p>
    <w:p>
      <w:pPr>
        <w:pStyle w:val="Paragraphedeliste"/>
        <w:numPr>
          <w:ilvl w:val="0"/>
          <w:numId w:val="10"/>
        </w:numPr>
        <w:ind w:left="851" w:hanging="284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  <w:u w:val="single"/>
        </w:rPr>
        <w:t>Dispositifs de prétraitement</w:t>
      </w:r>
      <w:r>
        <w:rPr>
          <w:rFonts w:asciiTheme="minorHAnsi" w:hAnsiTheme="minorHAnsi" w:cstheme="minorHAnsi"/>
          <w:sz w:val="22"/>
          <w:szCs w:val="22"/>
        </w:rPr>
        <w:t xml:space="preserve"> :</w:t>
      </w:r>
    </w:p>
    <w:p>
      <w:pPr>
        <w:ind w:firstLine="540"/>
        <w:rPr>
          <w:rFonts w:asciiTheme="minorHAnsi" w:hAnsiTheme="minorHAnsi" w:cstheme="minorHAnsi"/>
          <w:b/>
          <w:sz w:val="22"/>
          <w:szCs w:val="22"/>
        </w:rPr>
      </w:pP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Bac à graisses </w:t>
      </w:r>
    </w:p>
    <w:p>
      <w:pPr>
        <w:ind w:left="709" w:firstLine="709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Volume  200 L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Fosse toutes eaux 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Volume : 3 m</w:t>
      </w:r>
      <w:r>
        <w:rPr>
          <w:rFonts w:asciiTheme="minorHAnsi" w:hAnsiTheme="minorHAnsi" w:cstheme="minorHAnsi"/>
          <w:sz w:val="22"/>
          <w:szCs w:val="22"/>
          <w:vertAlign w:val="superscript"/>
        </w:rPr>
        <w:t>3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Ventilation 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Diamètre : 100 mm 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Type de ventilation : Ventilation secondaire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Equipements : Extracteur statique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>
      <w:pPr>
        <w:rPr>
          <w:rFonts w:ascii="Calibri" w:hAnsi="Calibri" w:cs="Calibri"/>
          <w:sz w:val="18"/>
        </w:rPr>
      </w:pPr>
    </w:p>
    <w:p>
      <w:pPr>
        <w:ind w:left="540"/>
        <w:rPr>
          <w:rFonts w:ascii="Calibri" w:hAnsi="Calibri" w:cs="Calibri"/>
        </w:rPr>
      </w:pPr>
      <w:r>
        <w:rPr>
          <w:rFonts w:ascii="Calibri" w:hAnsi="Calibri" w:cs="Calibri"/>
        </w:rPr>
        <w:sym w:font="Wingdings" w:char="F0D8"/>
      </w:r>
      <w:r>
        <w:rPr>
          <w:rFonts w:ascii="Calibri" w:hAnsi="Calibri" w:cs="Calibri"/>
        </w:rPr>
        <w:t xml:space="preserve"> </w:t>
      </w:r>
      <w:r>
        <w:rPr>
          <w:rFonts w:ascii="Calibri" w:hAnsi="Calibri" w:cs="Calibri"/>
          <w:u w:val="single"/>
        </w:rPr>
        <w:t xml:space="preserve">Dispositif de traitement et d'évacuation </w:t>
      </w:r>
      <w:r>
        <w:rPr>
          <w:rFonts w:ascii="Calibri" w:hAnsi="Calibri" w:cs="Calibri"/>
        </w:rPr>
        <w:t>:</w:t>
      </w:r>
    </w:p>
    <w:p>
      <w:pPr>
        <w:ind w:left="540"/>
        <w:rPr>
          <w:rFonts w:asciiTheme="minorHAnsi" w:hAnsiTheme="minorHAnsi" w:cstheme="minorHAnsi"/>
          <w:sz w:val="22"/>
          <w:szCs w:val="22"/>
        </w:rPr>
      </w:pP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Filtre compact 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Numéro d’agrément : 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Capacité : 5 eH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Dénomination commerciale : 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Type de rejet : Milieu hydraulique superficiel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Lieu de rejet prévu ou actuel : Fossé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Si dispersion, nombre de tranchée(s) ? : 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Si dispersion, longueur des tranchées en mètre? :  ml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>
      <w:pPr>
        <w:ind w:left="540"/>
        <w:rPr>
          <w:rFonts w:ascii="Calibri" w:hAnsi="Calibri" w:cs="Calibri"/>
        </w:rPr>
      </w:pPr>
      <w:r>
        <w:rPr>
          <w:rFonts w:ascii="Arial" w:hAnsi="Arial" w:cs="Arial"/>
          <w:b/>
          <w:sz w:val="18"/>
          <w:szCs w:val="18"/>
        </w:rPr>
        <w:t> </w:t>
      </w:r>
    </w:p>
    <w:p>
      <w:pPr>
        <w:rPr>
          <w:rFonts w:ascii="Calibri" w:hAnsi="Calibri" w:cs="Calibri"/>
          <w:b/>
          <w:bCs/>
          <w:smallCaps/>
          <w:color w:val="FF6600"/>
          <w:sz w:val="14"/>
          <w:szCs w:val="14"/>
          <w:u w:val="single"/>
        </w:rPr>
      </w:pPr>
    </w:p>
    <w:p>
      <w:pPr>
        <w:pStyle w:val="Titre7"/>
        <w:ind w:left="-180"/>
        <w:rPr>
          <w:rFonts w:ascii="Calibri" w:hAnsi="Calibri" w:cs="Calibri"/>
          <w:color w:val="FF6600"/>
          <w:sz w:val="28"/>
        </w:rPr>
      </w:pPr>
      <w:r>
        <w:rPr>
          <w:rFonts w:ascii="Calibri" w:hAnsi="Calibri" w:cs="Calibri"/>
          <w:color w:val="FF6600"/>
          <w:sz w:val="28"/>
        </w:rPr>
        <w:t xml:space="preserve">III. </w:t>
      </w:r>
      <w:r>
        <w:rPr>
          <w:rFonts w:ascii="Calibri" w:hAnsi="Calibri" w:cs="Calibri"/>
          <w:color w:val="FF6600"/>
          <w:sz w:val="28"/>
          <w:u w:val="single"/>
        </w:rPr>
        <w:t>Fait l’objet d’un avis :</w:t>
      </w:r>
    </w:p>
    <w:p>
      <w:pPr>
        <w:rPr>
          <w:rFonts w:ascii="Calibri" w:hAnsi="Calibri" w:cs="Calibri"/>
          <w:sz w:val="16"/>
        </w:rPr>
      </w:pPr>
    </w:p>
    <w:p>
      <w:pPr>
        <w:jc w:val="center"/>
        <w:rPr>
          <w:rFonts w:ascii="Calibri" w:hAnsi="Calibri" w:cs="Calibri"/>
          <w:b/>
          <w:sz w:val="22"/>
          <w:szCs w:val="22"/>
        </w:rPr>
      </w:pPr>
      <w:r>
        <w:rPr>
          <w:rFonts w:ascii="Calibri" w:hAnsi="Calibri" w:cs="Calibri"/>
          <w:b/>
          <w:sz w:val="22"/>
          <w:szCs w:val="22"/>
        </w:rPr>
        <w:t>Conforme</w:t>
      </w:r>
    </w:p>
    <w:p>
      <w:pPr>
        <w:jc w:val="center"/>
        <w:rPr>
          <w:rFonts w:ascii="Calibri" w:hAnsi="Calibri" w:cs="Calibri"/>
          <w:b/>
          <w:sz w:val="22"/>
          <w:szCs w:val="22"/>
        </w:rPr>
      </w:pPr>
    </w:p>
    <w:p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Informations concernant l’avis emis</w:t>
      </w:r>
    </w:p>
    <w:p>
      <w:pPr>
        <w:rPr>
          <w:rFonts w:ascii="Calibri" w:hAnsi="Calibri" w:cs="Calibri"/>
          <w:sz w:val="14"/>
          <w:szCs w:val="14"/>
        </w:rPr>
      </w:pPr>
    </w:p>
    <w:p>
      <w:pPr>
        <w:tabs>
          <w:tab w:val="right" w:leader="dot" w:pos="10620"/>
        </w:tabs>
        <w:spacing w:line="360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Les travaux de création du système d'assainissement ont été réalisés dans les règles de l'art et respectent la réglementation en vigueur.</w:t>
      </w:r>
    </w:p>
    <w:p>
      <w:pPr>
        <w:tabs>
          <w:tab w:val="right" w:leader="dot" w:pos="10620"/>
        </w:tabs>
        <w:spacing w:line="360" w:lineRule="auto"/>
        <w:rPr>
          <w:rFonts w:ascii="Calibri" w:hAnsi="Calibri" w:cs="Calibri"/>
          <w:b/>
          <w:sz w:val="22"/>
          <w:szCs w:val="22"/>
        </w:rPr>
      </w:pPr>
      <w:r>
        <w:rPr>
          <w:rFonts w:ascii="Calibri" w:hAnsi="Calibri" w:cs="Calibri"/>
          <w:b/>
          <w:sz w:val="22"/>
          <w:szCs w:val="22"/>
        </w:rPr>
        <w:t xml:space="preserve">Contre visite à prévoir :    </w:t>
      </w:r>
      <w:r>
        <w:rPr>
          <w:rFonts w:ascii="Calibri" w:hAnsi="Calibri" w:cs="Calibri"/>
          <w:b/>
          <w:sz w:val="22"/>
          <w:szCs w:val="22"/>
        </w:rPr>
        <w:sym w:font="Wingdings" w:char="F06F"/>
      </w:r>
      <w:r>
        <w:rPr>
          <w:rFonts w:ascii="Calibri" w:hAnsi="Calibri" w:cs="Calibri"/>
          <w:b/>
          <w:sz w:val="22"/>
          <w:szCs w:val="22"/>
        </w:rPr>
        <w:t xml:space="preserve"> OUI     </w:t>
      </w:r>
      <w:r>
        <w:rPr>
          <w:rFonts w:ascii="Calibri" w:hAnsi="Calibri" w:cs="Calibri"/>
          <w:b/>
          <w:sz w:val="22"/>
          <w:szCs w:val="22"/>
        </w:rPr>
        <w:sym w:font="Wingdings" w:char="F06F"/>
      </w:r>
      <w:r>
        <w:rPr>
          <w:rFonts w:ascii="Calibri" w:hAnsi="Calibri" w:cs="Calibri"/>
          <w:b/>
          <w:sz w:val="22"/>
          <w:szCs w:val="22"/>
        </w:rPr>
        <w:t xml:space="preserve"> NON</w:t>
      </w:r>
    </w:p>
    <w:p>
      <w:pPr>
        <w:rPr>
          <w:rFonts w:ascii="Calibri" w:hAnsi="Calibri" w:cs="Calibri"/>
          <w:sz w:val="14"/>
          <w:szCs w:val="14"/>
        </w:rPr>
      </w:pPr>
    </w:p>
    <w:p>
      <w:pPr>
        <w:rPr>
          <w:rFonts w:ascii="Calibri" w:hAnsi="Calibri" w:cs="Calibri"/>
          <w:sz w:val="14"/>
          <w:szCs w:val="14"/>
        </w:rPr>
      </w:pPr>
    </w:p>
    <w:p>
      <w:pPr>
        <w:jc w:val="center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>Françoise PILLARD</w:t>
      </w:r>
    </w:p>
    <w:p>
      <w:pPr>
        <w:jc w:val="center"/>
        <w:rPr>
          <w:rFonts w:ascii="Calibri" w:hAnsi="Calibri" w:cs="Calibri"/>
        </w:rPr>
      </w:pPr>
      <w:r>
        <w:rPr>
          <w:rFonts w:ascii="Calibri" w:hAnsi="Calibri" w:cs="Calibri"/>
          <w:b/>
        </w:rPr>
        <w:t>Vice–Présidente en charge de l’Environnement</w:t>
      </w:r>
    </w:p>
    <w:p>
      <w:pPr>
        <w:tabs>
          <w:tab w:val="right" w:leader="dot" w:pos="10620"/>
        </w:tabs>
        <w:spacing w:line="360" w:lineRule="auto"/>
        <w:rPr>
          <w:rFonts w:ascii="Calibri" w:hAnsi="Calibri" w:cs="Calibri"/>
          <w:b/>
          <w:sz w:val="22"/>
          <w:szCs w:val="22"/>
        </w:rPr>
      </w:pP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>
      <w:pPr>
        <w:pStyle w:val="Normalcentr"/>
        <w:ind w:left="360" w:right="332"/>
        <w:rPr>
          <w:rFonts w:ascii="Calibri" w:hAnsi="Calibri" w:cs="Calibri"/>
          <w:sz w:val="14"/>
          <w:szCs w:val="14"/>
        </w:rPr>
      </w:pPr>
    </w:p>
    <w:p>
      <w:pPr>
        <w:pStyle w:val="Normalcentr"/>
        <w:ind w:left="360" w:right="332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noProof/>
          <w:sz w:val="22"/>
          <w:szCs w:val="22"/>
        </w:rPr>
        <w:drawing>
          <wp:inline distT="0" distB="0" distL="0" distR="0">
            <wp:extent cx="114300" cy="114300"/>
            <wp:effectExtent l="19050" t="0" r="0" b="0"/>
            <wp:docPr id="8" name="Image 1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d14794_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  <w:sz w:val="22"/>
          <w:szCs w:val="22"/>
        </w:rPr>
        <w:t xml:space="preserve"> Le dispositif d'assainissement non collectif doit être conçu, implanté, exécuté et entretenu de manière à ne pas porter atteinte à la salubrité publique, à la qualité du milieu récepteur et à la sécurité des personnes. Il doit être adapté au type d’usage, aux flux de pollution à traiter, aux contraintes sanitaires et environnementales, aux caractéristiques du terrain et de l’immeuble desservi ainsi qu’à la sensibilité du milieu récepteur.</w:t>
      </w: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22"/>
          <w:szCs w:val="22"/>
        </w:rPr>
      </w:pP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tabs>
          <w:tab w:val="num" w:pos="1260"/>
        </w:tabs>
        <w:ind w:left="360" w:right="332" w:firstLine="539"/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noProof/>
          <w:sz w:val="22"/>
          <w:szCs w:val="22"/>
        </w:rPr>
        <w:drawing>
          <wp:inline distT="0" distB="0" distL="0" distR="0">
            <wp:extent cx="114300" cy="114300"/>
            <wp:effectExtent l="19050" t="0" r="0" b="0"/>
            <wp:docPr id="9" name="Image 2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bd14794_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  <w:sz w:val="22"/>
          <w:szCs w:val="22"/>
        </w:rPr>
        <w:t xml:space="preserve"> L’installation doit répondre à l’arrêté du 7 mars 2012 relatif aux prescriptions techniques ou à l’arrêté du 22 juin 2007.</w:t>
      </w: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22"/>
          <w:szCs w:val="22"/>
        </w:rPr>
      </w:pPr>
    </w:p>
    <w:p>
      <w:pPr>
        <w:pStyle w:val="Normalcentr"/>
        <w:ind w:left="360" w:right="332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noProof/>
          <w:sz w:val="22"/>
          <w:szCs w:val="22"/>
        </w:rPr>
        <w:drawing>
          <wp:inline distT="0" distB="0" distL="0" distR="0">
            <wp:extent cx="114300" cy="114300"/>
            <wp:effectExtent l="19050" t="0" r="0" b="0"/>
            <wp:docPr id="10" name="Image 3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bd14794_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  <w:sz w:val="22"/>
          <w:szCs w:val="22"/>
        </w:rPr>
        <w:t xml:space="preserve"> Le présent agrément ne fait pas obstacle à la responsabilité civile et pénale du propriétaire et de l'installateur.</w:t>
      </w: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22"/>
          <w:szCs w:val="22"/>
        </w:rPr>
      </w:pPr>
    </w:p>
    <w:p>
      <w:pPr>
        <w:pStyle w:val="Normalcentr"/>
        <w:ind w:left="360" w:right="332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noProof/>
          <w:sz w:val="22"/>
          <w:szCs w:val="22"/>
        </w:rPr>
        <w:drawing>
          <wp:inline distT="0" distB="0" distL="0" distR="0">
            <wp:extent cx="114300" cy="114300"/>
            <wp:effectExtent l="19050" t="0" r="0" b="0"/>
            <wp:docPr id="11" name="Image 4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bd14794_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  <w:sz w:val="22"/>
          <w:szCs w:val="22"/>
        </w:rPr>
        <w:t xml:space="preserve"> Le système d’assainissement non collectif est entretenu régulièrement et vidangé par des personnes agréées.</w:t>
      </w: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22"/>
          <w:szCs w:val="22"/>
        </w:rPr>
      </w:pPr>
    </w:p>
    <w:p>
      <w:pPr>
        <w:pStyle w:val="Normalcentr"/>
        <w:tabs>
          <w:tab w:val="left" w:leader="dot" w:pos="10438"/>
        </w:tabs>
        <w:ind w:left="360" w:right="332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noProof/>
          <w:sz w:val="22"/>
          <w:szCs w:val="22"/>
        </w:rPr>
        <w:drawing>
          <wp:inline distT="0" distB="0" distL="0" distR="0">
            <wp:extent cx="114300" cy="114300"/>
            <wp:effectExtent l="19050" t="0" r="0" b="0"/>
            <wp:docPr id="12" name="Image 5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bd14794_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  <w:sz w:val="22"/>
          <w:szCs w:val="22"/>
        </w:rPr>
        <w:t xml:space="preserve"> Un diagnostic de bon fonctionnement et d’entretien est réalisé périodiquement par le SPANC. </w:t>
      </w:r>
    </w:p>
    <w:p>
      <w:pPr>
        <w:pStyle w:val="Normalcentr"/>
        <w:ind w:left="360" w:right="332"/>
        <w:rPr>
          <w:rFonts w:ascii="Calibri" w:hAnsi="Calibri" w:cs="Calibri"/>
          <w:sz w:val="22"/>
          <w:szCs w:val="22"/>
        </w:rPr>
      </w:pPr>
    </w:p>
    <w:p>
      <w:pPr>
        <w:pStyle w:val="Normalcentr"/>
        <w:ind w:left="360" w:right="332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noProof/>
          <w:sz w:val="22"/>
          <w:szCs w:val="22"/>
        </w:rPr>
        <w:drawing>
          <wp:inline distT="0" distB="0" distL="0" distR="0">
            <wp:extent cx="114300" cy="114300"/>
            <wp:effectExtent l="19050" t="0" r="0" b="0"/>
            <wp:docPr id="13" name="Image 6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bd14794_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  <w:sz w:val="22"/>
          <w:szCs w:val="22"/>
        </w:rPr>
        <w:t xml:space="preserve"> En cas de vente, un rapport de contrôle daté de moins de 3 ans doit être annexé à l’acte de vente.</w:t>
      </w:r>
    </w:p>
    <w:p>
      <w:pPr>
        <w:pStyle w:val="Normalcentr"/>
        <w:tabs>
          <w:tab w:val="clear" w:pos="1260"/>
        </w:tabs>
        <w:ind w:left="360" w:right="332" w:firstLine="0"/>
        <w:rPr>
          <w:rFonts w:ascii="Calibri" w:hAnsi="Calibri" w:cs="Calibri"/>
          <w:sz w:val="14"/>
          <w:szCs w:val="14"/>
        </w:rPr>
      </w:pPr>
    </w:p>
    <w:p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</w:p>
    <w:p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br w:type="page"/>
      </w:r>
    </w:p>
    <w:tbl>
      <w:tblPr>
        <w:tblW w:w="10774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452"/>
        <w:gridCol w:w="5322"/>
      </w:tblGrid>
      <w:tr>
        <w:trPr>
          <w:trHeight w:val="1608"/>
        </w:trPr>
        <w:tc>
          <w:tcPr>
            <w:tcW w:w="107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Titre1"/>
              <w:ind w:left="2967"/>
              <w:rPr>
                <w:b w:val="0"/>
                <w:bCs w:val="0"/>
                <w:sz w:val="12"/>
                <w:szCs w:val="12"/>
                <w:lang w:val="fr-FR"/>
              </w:rPr>
            </w:pPr>
          </w:p>
          <w:p>
            <w:pPr>
              <w:pStyle w:val="Titre1"/>
              <w:ind w:left="708"/>
              <w:rPr>
                <w:rFonts w:asciiTheme="minorHAnsi" w:hAnsiTheme="minorHAnsi" w:cstheme="minorHAnsi"/>
                <w:bCs w:val="0"/>
                <w:sz w:val="22"/>
                <w:szCs w:val="22"/>
                <w:lang w:val="fr-FR"/>
              </w:rPr>
            </w:pPr>
            <w:r>
              <w:rPr>
                <w:rFonts w:asciiTheme="minorHAnsi" w:hAnsiTheme="minorHAnsi" w:cstheme="minorHAnsi"/>
                <w:bCs w:val="0"/>
                <w:sz w:val="22"/>
                <w:szCs w:val="22"/>
                <w:lang w:val="fr-FR"/>
              </w:rPr>
              <w:t>Service d’Assainissement Non Collectif</w:t>
            </w:r>
          </w:p>
          <w:p>
            <w:pPr>
              <w:ind w:left="708"/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Vérification des systèmes d’assainissement non collectif neufs</w:t>
            </w:r>
          </w:p>
          <w:p>
            <w:pPr>
              <w:rPr>
                <w:rFonts w:cstheme="minorHAnsi"/>
              </w:rPr>
            </w:pPr>
            <w:r>
              <w:rPr>
                <w:rFonts w:cstheme="minorHAnsi"/>
              </w:rPr>
              <w:t>Propriété de Monsieur et Madame HABERT RICHARD Alexandre et Laura</w:t>
            </w:r>
          </w:p>
          <w:p>
            <w:pPr>
              <w:rPr>
                <w:rFonts w:cstheme="minorHAnsi"/>
              </w:rPr>
            </w:pPr>
            <w:r>
              <w:rPr>
                <w:rFonts w:cstheme="minorHAnsi"/>
              </w:rPr>
              <w:t>Adresse : 2  Rue du Château d'eau Commune de SAINT LOUP</w:t>
            </w:r>
          </w:p>
          <w:p>
            <w:pPr>
              <w:rPr>
                <w:rFonts w:ascii="Calibri" w:hAnsi="Calibri" w:cs="Calibri"/>
              </w:rPr>
            </w:pPr>
            <w:r>
              <w:rPr>
                <w:rFonts w:cstheme="minorHAnsi"/>
              </w:rPr>
              <w:t>Planche de photographies- Prises de vue du 29/05/2019</w:t>
            </w:r>
          </w:p>
        </w:tc>
      </w:tr>
      <w:tr>
        <w:trPr>
          <w:trHeight w:val="4124"/>
        </w:trPr>
        <w:tc>
          <w:tcPr>
            <w:tcW w:w="5452" w:type="dxa"/>
            <w:tcBorders>
              <w:top w:val="single" w:sz="4" w:space="0" w:color="auto"/>
              <w:left w:val="single" w:sz="4" w:space="0" w:color="auto"/>
            </w:tcBorders>
          </w:tcPr>
          <w:p>
            <w:pPr>
              <w:jc w:val="center"/>
            </w:pPr>
          </w:p>
          <w:p>
            <w:pPr>
              <w:jc w:val="center"/>
            </w:pPr>
          </w:p>
          <w:p>
            <w:pPr>
              <w:jc w:val="center"/>
            </w:pPr>
          </w:p>
          <w:p>
            <w:pPr>
              <w:pStyle w:val="Titre2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Vue sur </w:t>
            </w:r>
          </w:p>
          <w:p>
            <w:pPr>
              <w:jc w:val="center"/>
            </w:pPr>
          </w:p>
        </w:tc>
        <w:tc>
          <w:tcPr>
            <w:tcW w:w="5322" w:type="dxa"/>
            <w:tcBorders>
              <w:top w:val="single" w:sz="4" w:space="0" w:color="auto"/>
              <w:right w:val="single" w:sz="4" w:space="0" w:color="auto"/>
            </w:tcBorders>
          </w:tcPr>
          <w:p>
            <w:pPr>
              <w:jc w:val="center"/>
              <w:rPr>
                <w:u w:val="single"/>
              </w:rPr>
            </w:pPr>
          </w:p>
          <w:p>
            <w:pPr>
              <w:jc w:val="center"/>
            </w:pPr>
          </w:p>
          <w:p>
            <w:pPr>
              <w:jc w:val="center"/>
            </w:pPr>
          </w:p>
          <w:p>
            <w:pPr>
              <w:jc w:val="center"/>
              <w:rPr>
                <w:rFonts w:ascii="Calibri" w:hAnsi="Calibri" w:cs="Calibri"/>
                <w:u w:val="single"/>
              </w:rPr>
            </w:pPr>
            <w:r>
              <w:rPr>
                <w:rFonts w:ascii="Calibri" w:hAnsi="Calibri" w:cs="Calibri"/>
                <w:u w:val="single"/>
              </w:rPr>
              <w:t xml:space="preserve">Vue sur </w:t>
            </w:r>
          </w:p>
        </w:tc>
      </w:tr>
      <w:tr>
        <w:trPr>
          <w:trHeight w:val="3929"/>
        </w:trPr>
        <w:tc>
          <w:tcPr>
            <w:tcW w:w="5452" w:type="dxa"/>
            <w:tcBorders>
              <w:left w:val="single" w:sz="4" w:space="0" w:color="auto"/>
            </w:tcBorders>
          </w:tcPr>
          <w:p>
            <w:pPr>
              <w:jc w:val="center"/>
              <w:rPr>
                <w:u w:val="single"/>
              </w:rPr>
            </w:pPr>
          </w:p>
          <w:p>
            <w:pPr>
              <w:jc w:val="center"/>
            </w:pPr>
          </w:p>
          <w:p>
            <w:pPr>
              <w:jc w:val="center"/>
            </w:pPr>
          </w:p>
          <w:p>
            <w:pPr>
              <w:jc w:val="center"/>
              <w:rPr>
                <w:rFonts w:ascii="Calibri" w:hAnsi="Calibri" w:cs="Calibri"/>
                <w:u w:val="single"/>
              </w:rPr>
            </w:pPr>
            <w:r>
              <w:rPr>
                <w:rFonts w:ascii="Calibri" w:hAnsi="Calibri" w:cs="Calibri"/>
                <w:u w:val="single"/>
              </w:rPr>
              <w:t xml:space="preserve">Vue sur </w:t>
            </w:r>
          </w:p>
        </w:tc>
        <w:tc>
          <w:tcPr>
            <w:tcW w:w="5322" w:type="dxa"/>
            <w:tcBorders>
              <w:right w:val="single" w:sz="4" w:space="0" w:color="auto"/>
            </w:tcBorders>
          </w:tcPr>
          <w:p>
            <w:pPr>
              <w:jc w:val="center"/>
              <w:rPr>
                <w:u w:val="single"/>
              </w:rPr>
            </w:pPr>
          </w:p>
          <w:p>
            <w:pPr>
              <w:jc w:val="center"/>
            </w:pPr>
          </w:p>
          <w:p>
            <w:pPr>
              <w:jc w:val="center"/>
              <w:rPr>
                <w:u w:val="single"/>
              </w:rPr>
            </w:pPr>
          </w:p>
          <w:p>
            <w:pPr>
              <w:jc w:val="center"/>
              <w:rPr>
                <w:rFonts w:ascii="Calibri" w:hAnsi="Calibri" w:cs="Calibri"/>
                <w:u w:val="single"/>
              </w:rPr>
            </w:pPr>
            <w:r>
              <w:rPr>
                <w:rFonts w:ascii="Calibri" w:hAnsi="Calibri" w:cs="Calibri"/>
                <w:u w:val="single"/>
              </w:rPr>
              <w:t xml:space="preserve">Vue sur </w:t>
            </w:r>
          </w:p>
        </w:tc>
      </w:tr>
      <w:tr>
        <w:trPr>
          <w:trHeight w:val="3482"/>
        </w:trPr>
        <w:tc>
          <w:tcPr>
            <w:tcW w:w="5452" w:type="dxa"/>
            <w:tcBorders>
              <w:left w:val="single" w:sz="4" w:space="0" w:color="auto"/>
              <w:bottom w:val="single" w:sz="4" w:space="0" w:color="auto"/>
            </w:tcBorders>
          </w:tcPr>
          <w:p>
            <w:pPr>
              <w:jc w:val="center"/>
              <w:rPr>
                <w:u w:val="single"/>
              </w:rPr>
            </w:pPr>
          </w:p>
          <w:p>
            <w:pPr>
              <w:jc w:val="center"/>
            </w:pPr>
          </w:p>
          <w:p>
            <w:pPr>
              <w:jc w:val="center"/>
              <w:rPr>
                <w:u w:val="single"/>
              </w:rPr>
            </w:pPr>
          </w:p>
          <w:p>
            <w:pPr>
              <w:jc w:val="center"/>
              <w:rPr>
                <w:rFonts w:ascii="Calibri" w:hAnsi="Calibri" w:cs="Calibri"/>
                <w:u w:val="single"/>
              </w:rPr>
            </w:pPr>
            <w:r>
              <w:rPr>
                <w:rFonts w:ascii="Calibri" w:hAnsi="Calibri" w:cs="Calibri"/>
                <w:u w:val="single"/>
              </w:rPr>
              <w:t>Vue sur</w:t>
            </w:r>
          </w:p>
          <w:p>
            <w:pPr>
              <w:jc w:val="center"/>
              <w:rPr>
                <w:u w:val="single"/>
              </w:rPr>
            </w:pPr>
          </w:p>
        </w:tc>
        <w:tc>
          <w:tcPr>
            <w:tcW w:w="5322" w:type="dxa"/>
            <w:tcBorders>
              <w:bottom w:val="single" w:sz="4" w:space="0" w:color="auto"/>
              <w:right w:val="single" w:sz="4" w:space="0" w:color="auto"/>
            </w:tcBorders>
          </w:tcPr>
          <w:p>
            <w:pPr>
              <w:jc w:val="center"/>
              <w:rPr>
                <w:u w:val="single"/>
              </w:rPr>
            </w:pPr>
          </w:p>
          <w:p>
            <w:pPr>
              <w:jc w:val="center"/>
              <w:rPr>
                <w:u w:val="single"/>
              </w:rPr>
            </w:pPr>
          </w:p>
          <w:p>
            <w:pPr>
              <w:jc w:val="center"/>
              <w:rPr>
                <w:u w:val="single"/>
              </w:rPr>
            </w:pPr>
          </w:p>
          <w:p>
            <w:pPr>
              <w:jc w:val="center"/>
              <w:rPr>
                <w:rFonts w:ascii="Calibri" w:hAnsi="Calibri" w:cs="Calibri"/>
                <w:u w:val="single"/>
              </w:rPr>
            </w:pPr>
            <w:r>
              <w:rPr>
                <w:rFonts w:ascii="Calibri" w:hAnsi="Calibri" w:cs="Calibri"/>
                <w:u w:val="single"/>
              </w:rPr>
              <w:t>Vue sur</w:t>
            </w:r>
          </w:p>
          <w:p>
            <w:pPr>
              <w:jc w:val="center"/>
              <w:rPr>
                <w:u w:val="single"/>
              </w:rPr>
            </w:pPr>
            <w:r>
              <w:rPr>
                <w:u w:val="single"/>
              </w:rPr>
              <w:t xml:space="preserve"> </w:t>
            </w:r>
          </w:p>
        </w:tc>
      </w:tr>
    </w:tbl>
    <w:p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</w:p>
    <w:sectPr>
      <w:pgSz w:w="11906" w:h="16838"/>
      <w:pgMar w:top="719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7" type="#_x0000_t75" style="width:9pt;height:9pt" o:bullet="t">
        <v:imagedata r:id="rId1" o:title="bd14794_"/>
      </v:shape>
    </w:pict>
  </w:numPicBullet>
  <w:abstractNum w:abstractNumId="0" w15:restartNumberingAfterBreak="0">
    <w:nsid w:val="17F07CE3"/>
    <w:multiLevelType w:val="hybridMultilevel"/>
    <w:tmpl w:val="3AAE94E4"/>
    <w:lvl w:ilvl="0" w:tplc="081C6EBA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D5E5F60"/>
    <w:multiLevelType w:val="hybridMultilevel"/>
    <w:tmpl w:val="53AEC4AA"/>
    <w:lvl w:ilvl="0" w:tplc="4E84A214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616ABF3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EA0C5D80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6E2CF36E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7B34121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0E204EF4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686EE19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E4EF172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61346434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2" w15:restartNumberingAfterBreak="0">
    <w:nsid w:val="38B94920"/>
    <w:multiLevelType w:val="hybridMultilevel"/>
    <w:tmpl w:val="F544B178"/>
    <w:lvl w:ilvl="0" w:tplc="040C0001">
      <w:start w:val="5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28E78F8"/>
    <w:multiLevelType w:val="hybridMultilevel"/>
    <w:tmpl w:val="BD8E74F2"/>
    <w:lvl w:ilvl="0" w:tplc="A75E29E6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8470A81"/>
    <w:multiLevelType w:val="hybridMultilevel"/>
    <w:tmpl w:val="B562E8A2"/>
    <w:lvl w:ilvl="0" w:tplc="1FC2B852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93123EB"/>
    <w:multiLevelType w:val="hybridMultilevel"/>
    <w:tmpl w:val="2B92C7A8"/>
    <w:lvl w:ilvl="0" w:tplc="040C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8295EA4"/>
    <w:multiLevelType w:val="hybridMultilevel"/>
    <w:tmpl w:val="91D8B906"/>
    <w:lvl w:ilvl="0" w:tplc="040C000D">
      <w:start w:val="1"/>
      <w:numFmt w:val="bullet"/>
      <w:lvlText w:val=""/>
      <w:lvlJc w:val="left"/>
      <w:pPr>
        <w:tabs>
          <w:tab w:val="num" w:pos="780"/>
        </w:tabs>
        <w:ind w:left="780" w:hanging="360"/>
      </w:pPr>
      <w:rPr>
        <w:rFonts w:ascii="Wingdings" w:hAnsi="Wingdings" w:hint="default"/>
      </w:rPr>
    </w:lvl>
    <w:lvl w:ilvl="1" w:tplc="A664E85C">
      <w:numFmt w:val="bullet"/>
      <w:lvlText w:val="-"/>
      <w:lvlJc w:val="left"/>
      <w:pPr>
        <w:tabs>
          <w:tab w:val="num" w:pos="1500"/>
        </w:tabs>
        <w:ind w:left="1500" w:hanging="360"/>
      </w:pPr>
      <w:rPr>
        <w:rFonts w:ascii="Times New Roman" w:eastAsia="Times New Roman" w:hAnsi="Times New Roman" w:cs="Times New Roman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7" w15:restartNumberingAfterBreak="0">
    <w:nsid w:val="5D6C505D"/>
    <w:multiLevelType w:val="hybridMultilevel"/>
    <w:tmpl w:val="7B004FC6"/>
    <w:lvl w:ilvl="0" w:tplc="040C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94711A4"/>
    <w:multiLevelType w:val="hybridMultilevel"/>
    <w:tmpl w:val="F5E4B39A"/>
    <w:lvl w:ilvl="0" w:tplc="040C000B">
      <w:start w:val="1"/>
      <w:numFmt w:val="bullet"/>
      <w:lvlText w:val=""/>
      <w:lvlJc w:val="left"/>
      <w:pPr>
        <w:ind w:left="126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9" w15:restartNumberingAfterBreak="0">
    <w:nsid w:val="76C94918"/>
    <w:multiLevelType w:val="hybridMultilevel"/>
    <w:tmpl w:val="7964842E"/>
    <w:lvl w:ilvl="0" w:tplc="040C0001">
      <w:start w:val="3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0"/>
  </w:num>
  <w:num w:numId="5">
    <w:abstractNumId w:val="3"/>
  </w:num>
  <w:num w:numId="6">
    <w:abstractNumId w:val="9"/>
  </w:num>
  <w:num w:numId="7">
    <w:abstractNumId w:val="2"/>
  </w:num>
  <w:num w:numId="8">
    <w:abstractNumId w:val="5"/>
  </w:num>
  <w:num w:numId="9">
    <w:abstractNumId w:val="1"/>
  </w:num>
  <w:num w:numId="10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noPunctuationKerning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>
      <o:colormru v:ext="edit" colors="#eaeaea"/>
    </o:shapedefaults>
    <o:shapelayout v:ext="edit">
      <o:idmap v:ext="edit" data="1"/>
    </o:shapelayout>
  </w:shapeDefaults>
  <w:decimalSymbol w:val="."/>
  <w:listSeparator w:val=";"/>
  <w15:docId w15:val="{A3DC82C7-96BD-4A97-8E2C-D41E146012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Pr>
      <w:rFonts w:ascii="Garamond" w:hAnsi="Garamond"/>
      <w:sz w:val="24"/>
      <w:szCs w:val="24"/>
    </w:rPr>
  </w:style>
  <w:style w:type="paragraph" w:styleId="Titre1">
    <w:name w:val="heading 1"/>
    <w:basedOn w:val="Normal"/>
    <w:next w:val="Normal"/>
    <w:qFormat/>
    <w:pPr>
      <w:keepNext/>
      <w:jc w:val="center"/>
      <w:outlineLvl w:val="0"/>
    </w:pPr>
    <w:rPr>
      <w:rFonts w:ascii="Comic Sans MS" w:hAnsi="Comic Sans MS"/>
      <w:b/>
      <w:bCs/>
      <w:sz w:val="44"/>
      <w:lang w:val="en-GB"/>
    </w:rPr>
  </w:style>
  <w:style w:type="paragraph" w:styleId="Titre2">
    <w:name w:val="heading 2"/>
    <w:basedOn w:val="Normal"/>
    <w:next w:val="Normal"/>
    <w:qFormat/>
    <w:pPr>
      <w:keepNext/>
      <w:jc w:val="center"/>
      <w:outlineLvl w:val="1"/>
    </w:pPr>
    <w:rPr>
      <w:rFonts w:ascii="Comic Sans MS" w:hAnsi="Comic Sans MS"/>
      <w:b/>
      <w:bCs/>
      <w:sz w:val="32"/>
    </w:rPr>
  </w:style>
  <w:style w:type="paragraph" w:styleId="Titre3">
    <w:name w:val="heading 3"/>
    <w:basedOn w:val="Normal"/>
    <w:next w:val="Normal"/>
    <w:qFormat/>
    <w:pPr>
      <w:keepNext/>
      <w:tabs>
        <w:tab w:val="left" w:pos="0"/>
        <w:tab w:val="decimal" w:pos="720"/>
        <w:tab w:val="right" w:leader="hyphen" w:pos="10440"/>
      </w:tabs>
      <w:spacing w:before="100" w:beforeAutospacing="1" w:after="100" w:afterAutospacing="1"/>
      <w:outlineLvl w:val="2"/>
    </w:pPr>
    <w:rPr>
      <w:rFonts w:ascii="Comic Sans MS" w:hAnsi="Comic Sans MS"/>
      <w:i/>
      <w:iCs/>
      <w:u w:val="single"/>
    </w:rPr>
  </w:style>
  <w:style w:type="paragraph" w:styleId="Titre4">
    <w:name w:val="heading 4"/>
    <w:basedOn w:val="Normal"/>
    <w:next w:val="Normal"/>
    <w:qFormat/>
    <w:pPr>
      <w:keepNext/>
      <w:tabs>
        <w:tab w:val="left" w:pos="0"/>
        <w:tab w:val="right" w:leader="hyphen" w:pos="10440"/>
      </w:tabs>
      <w:spacing w:line="120" w:lineRule="atLeast"/>
      <w:outlineLvl w:val="3"/>
    </w:pPr>
    <w:rPr>
      <w:rFonts w:ascii="Comic Sans MS" w:hAnsi="Comic Sans MS"/>
      <w:b/>
      <w:bCs/>
      <w:i/>
      <w:iCs/>
      <w:sz w:val="28"/>
      <w:u w:val="single"/>
    </w:rPr>
  </w:style>
  <w:style w:type="paragraph" w:styleId="Titre5">
    <w:name w:val="heading 5"/>
    <w:basedOn w:val="Normal"/>
    <w:next w:val="Normal"/>
    <w:qFormat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6E6E6"/>
      <w:tabs>
        <w:tab w:val="left" w:pos="0"/>
        <w:tab w:val="right" w:leader="hyphen" w:pos="10440"/>
      </w:tabs>
      <w:spacing w:line="120" w:lineRule="atLeast"/>
      <w:jc w:val="center"/>
      <w:outlineLvl w:val="4"/>
    </w:pPr>
    <w:rPr>
      <w:rFonts w:ascii="Comic Sans MS" w:hAnsi="Comic Sans MS"/>
      <w:b/>
      <w:bCs/>
      <w:i/>
      <w:iCs/>
      <w:sz w:val="28"/>
      <w:u w:val="single"/>
    </w:rPr>
  </w:style>
  <w:style w:type="paragraph" w:styleId="Titre6">
    <w:name w:val="heading 6"/>
    <w:basedOn w:val="Normal"/>
    <w:next w:val="Normal"/>
    <w:qFormat/>
    <w:pPr>
      <w:keepNext/>
      <w:tabs>
        <w:tab w:val="left" w:pos="0"/>
        <w:tab w:val="left" w:pos="6300"/>
        <w:tab w:val="right" w:leader="hyphen" w:pos="10440"/>
      </w:tabs>
      <w:spacing w:line="120" w:lineRule="atLeast"/>
      <w:outlineLvl w:val="5"/>
    </w:pPr>
    <w:rPr>
      <w:rFonts w:ascii="Comic Sans MS" w:hAnsi="Comic Sans MS"/>
      <w:b/>
      <w:bCs/>
      <w:i/>
      <w:iCs/>
      <w:u w:val="single"/>
    </w:rPr>
  </w:style>
  <w:style w:type="paragraph" w:styleId="Titre7">
    <w:name w:val="heading 7"/>
    <w:basedOn w:val="Normal"/>
    <w:next w:val="Normal"/>
    <w:qFormat/>
    <w:pPr>
      <w:keepNext/>
      <w:outlineLvl w:val="6"/>
    </w:pPr>
    <w:rPr>
      <w:b/>
      <w:bCs/>
      <w:smallCaps/>
    </w:rPr>
  </w:style>
  <w:style w:type="paragraph" w:styleId="Titre8">
    <w:name w:val="heading 8"/>
    <w:basedOn w:val="Normal"/>
    <w:next w:val="Normal"/>
    <w:qFormat/>
    <w:pPr>
      <w:keepNext/>
      <w:jc w:val="center"/>
      <w:outlineLvl w:val="7"/>
    </w:pPr>
    <w:rPr>
      <w:b/>
      <w:bCs/>
      <w:caps/>
    </w:rPr>
  </w:style>
  <w:style w:type="paragraph" w:styleId="Titre9">
    <w:name w:val="heading 9"/>
    <w:basedOn w:val="Normal"/>
    <w:next w:val="Normal"/>
    <w:qFormat/>
    <w:pPr>
      <w:keepNext/>
      <w:ind w:left="360"/>
      <w:outlineLvl w:val="8"/>
    </w:pPr>
    <w:rPr>
      <w:sz w:val="22"/>
      <w:u w:val="single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Corpsdetexte">
    <w:name w:val="Body Text"/>
    <w:basedOn w:val="Normal"/>
    <w:pPr>
      <w:jc w:val="center"/>
    </w:pPr>
    <w:rPr>
      <w:rFonts w:ascii="Comic Sans MS" w:hAnsi="Comic Sans MS"/>
      <w:sz w:val="44"/>
    </w:rPr>
  </w:style>
  <w:style w:type="paragraph" w:styleId="Corpsdetexte2">
    <w:name w:val="Body Text 2"/>
    <w:basedOn w:val="Normal"/>
    <w:pPr>
      <w:jc w:val="center"/>
    </w:pPr>
  </w:style>
  <w:style w:type="paragraph" w:styleId="Corpsdetexte3">
    <w:name w:val="Body Text 3"/>
    <w:basedOn w:val="Normal"/>
    <w:rPr>
      <w:rFonts w:ascii="Comic Sans MS" w:hAnsi="Comic Sans MS"/>
      <w:b/>
      <w:bCs/>
      <w:sz w:val="40"/>
    </w:rPr>
  </w:style>
  <w:style w:type="paragraph" w:styleId="Retraitcorpsdetexte">
    <w:name w:val="Body Text Indent"/>
    <w:basedOn w:val="Normal"/>
    <w:pPr>
      <w:ind w:left="360"/>
    </w:pPr>
    <w:rPr>
      <w:sz w:val="18"/>
    </w:rPr>
  </w:style>
  <w:style w:type="paragraph" w:styleId="Retraitcorpsdetexte2">
    <w:name w:val="Body Text Indent 2"/>
    <w:basedOn w:val="Normal"/>
    <w:pPr>
      <w:ind w:firstLine="709"/>
    </w:pPr>
    <w:rPr>
      <w:b/>
      <w:bCs/>
      <w:sz w:val="20"/>
    </w:rPr>
  </w:style>
  <w:style w:type="paragraph" w:styleId="Retraitcorpsdetexte3">
    <w:name w:val="Body Text Indent 3"/>
    <w:basedOn w:val="Normal"/>
    <w:pPr>
      <w:ind w:left="360"/>
    </w:pPr>
    <w:rPr>
      <w:rFonts w:ascii="Comic Sans MS" w:hAnsi="Comic Sans MS"/>
    </w:rPr>
  </w:style>
  <w:style w:type="paragraph" w:styleId="Normalcentr">
    <w:name w:val="Block Text"/>
    <w:basedOn w:val="Normal"/>
    <w:pPr>
      <w:pBdr>
        <w:top w:val="double" w:sz="4" w:space="1" w:color="99CC00"/>
        <w:left w:val="double" w:sz="4" w:space="4" w:color="99CC00"/>
        <w:bottom w:val="double" w:sz="4" w:space="1" w:color="99CC00"/>
        <w:right w:val="double" w:sz="4" w:space="4" w:color="99CC00"/>
      </w:pBdr>
      <w:shd w:val="clear" w:color="auto" w:fill="F3F3F3"/>
      <w:tabs>
        <w:tab w:val="num" w:pos="1260"/>
      </w:tabs>
      <w:ind w:left="-181" w:right="-108" w:firstLine="539"/>
      <w:jc w:val="both"/>
    </w:pPr>
    <w:rPr>
      <w:rFonts w:ascii="Comic Sans MS" w:hAnsi="Comic Sans MS"/>
    </w:rPr>
  </w:style>
  <w:style w:type="character" w:styleId="Lienhypertexte">
    <w:name w:val="Hyperlink"/>
    <w:rPr>
      <w:color w:val="0000FF"/>
      <w:u w:val="single"/>
    </w:rPr>
  </w:style>
  <w:style w:type="character" w:customStyle="1" w:styleId="Mentionnonrsolue1">
    <w:name w:val="Mention non résolue1"/>
    <w:uiPriority w:val="99"/>
    <w:semiHidden/>
    <w:unhideWhenUsed/>
    <w:rPr>
      <w:color w:val="808080"/>
      <w:shd w:val="clear" w:color="auto" w:fill="E6E6E6"/>
    </w:rPr>
  </w:style>
  <w:style w:type="paragraph" w:styleId="Textedebulles">
    <w:name w:val="Balloon Text"/>
    <w:basedOn w:val="Normal"/>
    <w:link w:val="TextedebullesCar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rPr>
      <w:rFonts w:ascii="Tahoma" w:hAnsi="Tahoma" w:cs="Tahoma"/>
      <w:sz w:val="16"/>
      <w:szCs w:val="16"/>
    </w:rPr>
  </w:style>
  <w:style w:type="paragraph" w:styleId="Paragraphedeliste">
    <w:name w:val="List Paragraph"/>
    <w:basedOn w:val="Normal"/>
    <w:uiPriority w:val="34"/>
    <w:qFormat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920747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no"?>
<Relationships xmlns="http://schemas.openxmlformats.org/package/2006/relationships">
<Relationship Id="rId1" Target="numbering.xml" Type="http://schemas.openxmlformats.org/officeDocument/2006/relationships/numbering"/>
<Relationship Id="rId10" Target="theme/theme1.xml" Type="http://schemas.openxmlformats.org/officeDocument/2006/relationships/theme"/>
<Relationship Id="rId2" Target="styles.xml" Type="http://schemas.openxmlformats.org/officeDocument/2006/relationships/styles"/>
<Relationship Id="rId3" Target="settings.xml" Type="http://schemas.openxmlformats.org/officeDocument/2006/relationships/settings"/>
<Relationship Id="rId4" Target="webSettings.xml" Type="http://schemas.openxmlformats.org/officeDocument/2006/relationships/webSettings"/>
<Relationship Id="rId5" Target="media/image2.png" Type="http://schemas.openxmlformats.org/officeDocument/2006/relationships/image"/>
<Relationship Id="rId6" Target="media/image3.jpeg" Type="http://schemas.openxmlformats.org/officeDocument/2006/relationships/image"/>
<Relationship Id="rId7" Target="mailto:contact@cclvn.fr" TargetMode="External" Type="http://schemas.openxmlformats.org/officeDocument/2006/relationships/hyperlink"/>
<Relationship Id="rId8" Target="media/image4.png" Type="http://schemas.openxmlformats.org/officeDocument/2006/relationships/image"/>
<Relationship Id="rId9" Target="fontTable.xml" Type="http://schemas.openxmlformats.org/officeDocument/2006/relationships/fontTable"/>
</Relationships>

</file>

<file path=word/_rels/numbering.xml.rels><?xml version="1.0" encoding="UTF-8" standalone="no"?>
<Relationships xmlns="http://schemas.openxmlformats.org/package/2006/relationships">
<Relationship Id="rId1" Target="media/image1.png" Type="http://schemas.openxmlformats.org/officeDocument/2006/relationships/imag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5</Pages>
  <Words>1226</Words>
  <Characters>6747</Characters>
  <Application>Microsoft Office Word</Application>
  <DocSecurity>0</DocSecurity>
  <Lines>56</Lines>
  <Paragraphs>15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Assainissement non collectif : Contrôle de réalisation</vt:lpstr>
    </vt:vector>
  </TitlesOfParts>
  <Company>CG58</Company>
  <LinksUpToDate>false</LinksUpToDate>
  <CharactersWithSpaces>7958</CharactersWithSpaces>
  <SharedDoc>false</SharedDoc>
  <HLinks>
    <vt:vector size="6" baseType="variant">
      <vt:variant>
        <vt:i4>8192073</vt:i4>
      </vt:variant>
      <vt:variant>
        <vt:i4>0</vt:i4>
      </vt:variant>
      <vt:variant>
        <vt:i4>0</vt:i4>
      </vt:variant>
      <vt:variant>
        <vt:i4>5</vt:i4>
      </vt:variant>
      <vt:variant>
        <vt:lpwstr>mailto:contact@cclvn.fr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2018-05-17T05:21:00Z</dcterms:created>
  <dc:creator>cazenave</dc:creator>
  <cp:lastModifiedBy>julie</cp:lastModifiedBy>
  <cp:lastPrinted>2009-07-23T15:15:00Z</cp:lastPrinted>
  <dcterms:modified xsi:type="dcterms:W3CDTF">2018-09-20T13:38:00Z</dcterms:modified>
  <cp:revision>5</cp:revision>
  <dc:title>Assainissement non collectif : Contrôle de réalisation</dc:title>
</cp:coreProperties>
</file>