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COULOUTRE</w:t>
      </w:r>
    </w:p>
    <w:p>
      <w:pPr>
        <w:ind w:left="708"/>
        <w:rPr>
          <w:rFonts w:cstheme="minorHAnsi"/>
          <w:szCs w:val="20"/>
        </w:rPr>
      </w:pPr>
      <w:r>
        <w:rPr>
          <w:sz w:val="36"/>
          <w:szCs w:val="36"/>
        </w:rPr>
        <w:t xml:space="preserve">Adresse du bien : </w:t>
      </w:r>
      <w:r>
        <w:rPr>
          <w:sz w:val="28"/>
          <w:szCs w:val="36"/>
        </w:rPr>
        <w:t xml:space="preserve">2  Impasse des moutiots d'en haut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GARNIER Thierry</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GARNIER Thierry</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72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GARNIER Thierry</w:t>
            </w:r>
          </w:p>
          <w:p>
            <w:pPr>
              <w:spacing w:after="0" w:line="240" w:lineRule="auto"/>
              <w:rPr>
                <w:rFonts w:cstheme="minorHAnsi"/>
              </w:rPr>
            </w:pPr>
            <w:r>
              <w:rPr>
                <w:rFonts w:cstheme="minorHAnsi"/>
              </w:rPr>
              <w:t>Adresse : 2  Impasse des moutiots d'en haut Commune de COULOUTRE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