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
    <w:p>
      <w:pPr>
        <w:ind w:left="708"/>
        <w:rPr>
          <w:rFonts w:cstheme="minorHAnsi"/>
          <w:szCs w:val="20"/>
        </w:rPr>
      </w:pPr>
      <w:r>
        <w:rPr>
          <w:sz w:val="36"/>
          <w:szCs w:val="36"/>
        </w:rPr>
        <w:t xml:space="preserve">Adresse du bien : </w:t>
      </w:r>
      <w:r>
        <w:rPr>
          <w:sz w:val="28"/>
          <w:szCs w:val="36"/>
        </w:rPr>
        <w:t xml:space="preserve">  LES CHAUMES DU LAC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HOEKSEMA THERESE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18/10/2018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HOEKSEMA THERESE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95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16-10-2018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HOEKSEMA THERESE</w:t>
            </w:r>
          </w:p>
          <w:p>
            <w:pPr>
              <w:spacing w:after="0" w:line="240" w:lineRule="auto"/>
              <w:rPr>
                <w:rFonts w:cstheme="minorHAnsi"/>
              </w:rPr>
            </w:pPr>
            <w:r>
              <w:rPr>
                <w:rFonts w:cstheme="minorHAnsi"/>
              </w:rPr>
              <w:t>Adresse :   LES CHAUMES DU LAC Commune de CHATEAUNEUF VAL DE BARGIS</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16-10-2018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