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2018_22387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04-05-2018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Le bourg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ANNAY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LETARD OLIVIER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LE BOURG </w:t>
            </w:r>
            <w:r>
              <w:rPr>
                <w:sz w:val="18"/>
                <w:szCs w:val="18"/>
              </w:rPr>
              <w:t xml:space="preserve">LE BOURG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ANNAY  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800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rPr>
          <w:sz w:val="18"/>
        </w:rPr>
      </w:pPr>
      <w:r>
        <w:t>Le prétraitement</w:t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="Impact" w:hAnsi="Impact"/>
          <w:color w:val="FFC000"/>
          <w:kern w:val="28"/>
          <w:sz w:val="24"/>
          <w:szCs w:val="28"/>
        </w:rPr>
        <w:t>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</w:pPr>
      <w:r>
        <w:t>Le traitement</w:t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</w:pPr>
      <w: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pluvial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cas échéant, résultat des analyses effectuées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distance inter-tranchées en m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système de traitement respectant les caractéristiques du sol et de l'habitation.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13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41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41</Pages>
  <Words>14519</Words>
  <Characters>79858</Characters>
  <Application>Microsoft Office Word</Application>
  <DocSecurity>0</DocSecurity>
  <Lines>665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Windows User</cp:lastModifiedBy>
  <dcterms:modified xsi:type="dcterms:W3CDTF">2018-05-14T09:30:00Z</dcterms:modified>
  <cp:revision>9</cp:revision>
  <dc:title>Informations générales</dc:title>
</cp:coreProperties>
</file>