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2018_22386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La Garenne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58150 SUILLY LA TOUR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ZM 130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RENARD Jean Luc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</w:t>
            </w:r>
            <w:r>
              <w:rPr>
                <w:rFonts w:asciiTheme="minorHAnsi" w:hAnsiTheme="minorHAnsi" w:cstheme="minorHAnsi"/>
                <w:szCs w:val="20"/>
              </w:rPr>
              <w:t xml:space="preserve">   Sente de la croix aux compagnons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93350 #{info_generales.proprietaire.</w:t>
            </w:r>
            <w:r>
              <w:rPr>
                <w:rFonts w:asciiTheme="minorHAnsi" w:hAnsiTheme="minorHAnsi" w:cstheme="minorHAnsi"/>
                <w:szCs w:val="20"/>
              </w:rPr>
              <w:t xml:space="preserve">adresse_ville}  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2200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150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☑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cuisine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salle de bain du bas.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80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est-elle correctement conçue (entrée d'air amont prétraitement, raccordement aval fosse, sortie au dessus des locaux habités)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extracteur, fonctionne-t-il correctement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extraction d'air, est-elle à plus de 40 cm au dessus du faitage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ventilation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visite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sur le regard de visite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 trop plein du regard de la salle de bain et les eaux ménagères de la salle de bain de l'étage.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 t'il des signes d'altération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visite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sur le regard de visite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 trop plein de la fosse septique et le trop plein du regard de visite n°2.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 t'il des signes d'altération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Puisard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Etat de l'exutoire (stagnation d'effluents, odeurs, dépôts...)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En cas de rejet hors de la parcelle, existe-t-il une autorisation du propriétaire sur le terrain duquel s’effectue le rejet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cas échéant, résultat des analyses effectuées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Brut + Prétraités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 brutes et eaux vannes prétraitées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existe-t-il une autorisation communale?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nature de l'ouvrage?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nombres de tranchées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longueur des tranchées en m / ml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distance inter-tranchées en m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regard(s) de contrôle et de répartition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L'infiltration fonctionne-t-elle correctement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rejet dans le sous-sol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Puisard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une installation complète respectant les caractéristiques du sol et de l'habitation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