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MESVES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78</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D'Antibes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RACQUEUR</w:t>
      </w:r>
      <w:proofErr w:type="spellStart"/>
      <w:proofErr w:type="gramEnd"/>
      <w:r>
        <w:rPr>
          <w:rFonts w:cstheme="minorHAnsi"/>
          <w:sz w:val="28"/>
          <w:szCs w:val="36"/>
        </w:rPr>
        <w:t/>
      </w:r>
      <w:proofErr w:type="spellEnd"/>
      <w:r>
        <w:rPr>
          <w:rFonts w:cstheme="minorHAnsi"/>
          <w:sz w:val="28"/>
          <w:szCs w:val="36"/>
        </w:rPr>
        <w:t xml:space="preserve">  Alain</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20/04/2018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RACQUEUR</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E</w:t>
      </w:r>
      <w:proofErr w:type="spellStart"/>
      <w:proofErr w:type="gramEnd"/>
      <w:r>
        <w:rPr>
          <w:rFonts w:eastAsia="Times New Roman" w:cstheme="minorHAnsi"/>
        </w:rPr>
        <w:t/>
      </w:r>
      <w:proofErr w:type="spellEnd"/>
      <w:r>
        <w:rPr>
          <w:rFonts w:eastAsia="Times New Roman" w:cstheme="minorHAnsi"/>
        </w:rPr>
        <w:t xml:space="preserve">  404</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18-04-2018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et Madame RACQUEUR Alain et Nicole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RACQUEUR</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78</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D'Antibes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MESVES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18-04-2018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