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
    <w:p>
      <w:pPr>
        <w:ind w:left="708"/>
        <w:rPr>
          <w:rFonts w:cstheme="minorHAnsi"/>
          <w:szCs w:val="20"/>
        </w:rPr>
      </w:pPr>
      <w:r>
        <w:rPr>
          <w:sz w:val="36"/>
          <w:szCs w:val="36"/>
        </w:rPr>
        <w:t xml:space="preserve">Adresse du bien : </w:t>
      </w:r>
      <w:r>
        <w:rPr>
          <w:sz w:val="28"/>
          <w:szCs w:val="36"/>
        </w:rPr>
        <w:t xml:space="preserve">206  LES FROSSARDS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ROY Jean Francois et Sylvie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19/10/2018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ROY Jean Francois et Sylvie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ZO 77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ROY Jean Francois et Sylvie</w:t>
            </w:r>
          </w:p>
          <w:p>
            <w:pPr>
              <w:spacing w:after="0" w:line="240" w:lineRule="auto"/>
              <w:rPr>
                <w:rFonts w:cstheme="minorHAnsi"/>
              </w:rPr>
            </w:pPr>
            <w:r>
              <w:rPr>
                <w:rFonts w:cstheme="minorHAnsi"/>
              </w:rPr>
              <w:t>Adresse : 206  LES FROSSARDS Commune de ANNAY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