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LAURENT L'ABBAYE</w:t>
      </w:r>
    </w:p>
    <w:p>
      <w:pPr>
        <w:ind w:left="708"/>
        <w:rPr>
          <w:rFonts w:cstheme="minorHAnsi"/>
          <w:szCs w:val="20"/>
        </w:rPr>
      </w:pPr>
      <w:r>
        <w:rPr>
          <w:sz w:val="36"/>
          <w:szCs w:val="36"/>
        </w:rPr>
        <w:t xml:space="preserve">Adresse du bien : </w:t>
      </w:r>
      <w:r>
        <w:rPr>
          <w:sz w:val="28"/>
          <w:szCs w:val="36"/>
        </w:rPr>
        <w:t xml:space="preserve">5  Route de Sancerre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ROBELIN Reynald</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14/08/2019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ROBELIN Reynald</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616</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12/08/2019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ROBELIN Reynald</w:t>
            </w:r>
          </w:p>
          <w:p>
            <w:pPr>
              <w:spacing w:after="0" w:line="240" w:lineRule="auto"/>
              <w:rPr>
                <w:rFonts w:cstheme="minorHAnsi"/>
              </w:rPr>
            </w:pPr>
            <w:r>
              <w:rPr>
                <w:rFonts w:cstheme="minorHAnsi"/>
              </w:rPr>
              <w:t>Adresse : 5  Route de Sancerre Commune de SAINT LAURENT L'ABBAYE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12/08/2019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